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9DA" w:rsidRDefault="006679DA">
      <w:pPr>
        <w:spacing w:after="1382" w:line="259" w:lineRule="auto"/>
        <w:ind w:left="204" w:right="0" w:firstLine="0"/>
        <w:rPr>
          <w:sz w:val="32"/>
        </w:rPr>
      </w:pPr>
      <w:r>
        <w:rPr>
          <w:noProof/>
        </w:rPr>
        <w:drawing>
          <wp:inline distT="0" distB="0" distL="0" distR="0">
            <wp:extent cx="5759450" cy="1333500"/>
            <wp:effectExtent l="0" t="0" r="0" b="0"/>
            <wp:docPr id="1" name="Grafik 1" descr="GWE_27,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E_27,5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1829" cy="1336366"/>
                    </a:xfrm>
                    <a:prstGeom prst="rect">
                      <a:avLst/>
                    </a:prstGeom>
                    <a:noFill/>
                    <a:ln>
                      <a:noFill/>
                    </a:ln>
                  </pic:spPr>
                </pic:pic>
              </a:graphicData>
            </a:graphic>
          </wp:inline>
        </w:drawing>
      </w:r>
    </w:p>
    <w:p w:rsidR="005A62B4" w:rsidRDefault="005A62B4" w:rsidP="006679DA">
      <w:pPr>
        <w:spacing w:after="1382" w:line="259" w:lineRule="auto"/>
        <w:ind w:left="204" w:right="0" w:firstLine="0"/>
        <w:rPr>
          <w:b/>
          <w:sz w:val="28"/>
          <w:szCs w:val="28"/>
        </w:rPr>
      </w:pPr>
    </w:p>
    <w:p w:rsidR="008E01BE" w:rsidRDefault="00A6148F" w:rsidP="008E01BE">
      <w:pPr>
        <w:rPr>
          <w:b/>
          <w:sz w:val="32"/>
          <w:szCs w:val="32"/>
        </w:rPr>
      </w:pPr>
      <w:r w:rsidRPr="008E01BE">
        <w:rPr>
          <w:b/>
          <w:sz w:val="32"/>
          <w:szCs w:val="32"/>
        </w:rPr>
        <w:t>Vereinbarung über den elektronischen Datenaustausch</w:t>
      </w:r>
    </w:p>
    <w:p w:rsidR="008E01BE" w:rsidRDefault="008E01BE" w:rsidP="008E01BE">
      <w:pPr>
        <w:rPr>
          <w:sz w:val="32"/>
          <w:szCs w:val="32"/>
        </w:rPr>
      </w:pPr>
      <w:r>
        <w:rPr>
          <w:b/>
          <w:sz w:val="32"/>
          <w:szCs w:val="32"/>
        </w:rPr>
        <w:t xml:space="preserve">                                           </w:t>
      </w:r>
      <w:r w:rsidR="00A6148F" w:rsidRPr="008E01BE">
        <w:rPr>
          <w:b/>
          <w:sz w:val="32"/>
          <w:szCs w:val="32"/>
        </w:rPr>
        <w:t xml:space="preserve"> (EDI)</w:t>
      </w:r>
      <w:r w:rsidR="00A6148F" w:rsidRPr="008E01BE">
        <w:rPr>
          <w:sz w:val="32"/>
          <w:szCs w:val="32"/>
        </w:rPr>
        <w:t xml:space="preserve"> </w:t>
      </w:r>
      <w:r w:rsidR="005A62B4" w:rsidRPr="008E01BE">
        <w:rPr>
          <w:sz w:val="32"/>
          <w:szCs w:val="32"/>
        </w:rPr>
        <w:t xml:space="preserve"> </w:t>
      </w:r>
    </w:p>
    <w:p w:rsidR="006679DA" w:rsidRDefault="008E01BE" w:rsidP="008E01BE">
      <w:pPr>
        <w:rPr>
          <w:sz w:val="32"/>
        </w:rPr>
      </w:pPr>
      <w:r>
        <w:t xml:space="preserve">                      </w:t>
      </w:r>
      <w:r w:rsidR="005A62B4">
        <w:t>Stand gemäß Beschluss</w:t>
      </w:r>
      <w:r w:rsidR="005A62B4" w:rsidRPr="005A62B4">
        <w:t xml:space="preserve"> vom 20.12.2017 (Az. BK6-17-168)</w:t>
      </w:r>
    </w:p>
    <w:p w:rsidR="008E01BE" w:rsidRDefault="006679DA" w:rsidP="008E01BE">
      <w:pPr>
        <w:rPr>
          <w:sz w:val="32"/>
        </w:rPr>
      </w:pPr>
      <w:r>
        <w:rPr>
          <w:sz w:val="32"/>
        </w:rPr>
        <w:t xml:space="preserve">                                         </w:t>
      </w:r>
    </w:p>
    <w:p w:rsidR="00C94245" w:rsidRDefault="008E01BE" w:rsidP="008E01BE">
      <w:pPr>
        <w:rPr>
          <w:sz w:val="32"/>
        </w:rPr>
      </w:pPr>
      <w:r>
        <w:rPr>
          <w:sz w:val="32"/>
        </w:rPr>
        <w:t xml:space="preserve"> </w:t>
      </w:r>
    </w:p>
    <w:p w:rsidR="00C94245" w:rsidRDefault="00C94245" w:rsidP="008E01BE">
      <w:pPr>
        <w:rPr>
          <w:sz w:val="32"/>
        </w:rPr>
      </w:pPr>
    </w:p>
    <w:p w:rsidR="00EE3EC6" w:rsidRDefault="008E01BE" w:rsidP="008E01BE">
      <w:r>
        <w:rPr>
          <w:sz w:val="32"/>
        </w:rPr>
        <w:t xml:space="preserve">                                        </w:t>
      </w:r>
      <w:r w:rsidR="006679DA">
        <w:rPr>
          <w:sz w:val="32"/>
        </w:rPr>
        <w:t xml:space="preserve">  </w:t>
      </w:r>
      <w:r w:rsidR="00A6148F">
        <w:t xml:space="preserve">zwischen </w:t>
      </w:r>
    </w:p>
    <w:p w:rsidR="008E01BE" w:rsidRDefault="008E01BE" w:rsidP="008E01BE"/>
    <w:p w:rsidR="00C94245" w:rsidRDefault="00C94245" w:rsidP="008E01BE"/>
    <w:p w:rsidR="00C94245" w:rsidRDefault="00C94245" w:rsidP="008E01BE"/>
    <w:p w:rsidR="00EE3EC6" w:rsidRDefault="00C94245" w:rsidP="00C94245">
      <w:pPr>
        <w:ind w:left="0" w:firstLine="0"/>
      </w:pPr>
      <w:r>
        <w:t xml:space="preserve">  </w:t>
      </w:r>
      <w:r w:rsidR="008E01BE">
        <w:t xml:space="preserve">                                                                 </w:t>
      </w:r>
      <w:r w:rsidR="00A6148F">
        <w:t xml:space="preserve">und </w:t>
      </w:r>
    </w:p>
    <w:p w:rsidR="00977710" w:rsidRDefault="00977710" w:rsidP="00977710">
      <w:pPr>
        <w:spacing w:after="0" w:line="276" w:lineRule="auto"/>
        <w:rPr>
          <w:sz w:val="20"/>
          <w:szCs w:val="20"/>
        </w:rPr>
      </w:pPr>
    </w:p>
    <w:p w:rsidR="00977710" w:rsidRDefault="00977710" w:rsidP="00977710">
      <w:pPr>
        <w:spacing w:after="0" w:line="276" w:lineRule="auto"/>
        <w:rPr>
          <w:sz w:val="20"/>
          <w:szCs w:val="20"/>
        </w:rPr>
      </w:pPr>
    </w:p>
    <w:p w:rsidR="00977710" w:rsidRDefault="00977710" w:rsidP="00977710">
      <w:pPr>
        <w:spacing w:after="0" w:line="276" w:lineRule="auto"/>
        <w:rPr>
          <w:sz w:val="20"/>
          <w:szCs w:val="20"/>
        </w:rPr>
      </w:pPr>
    </w:p>
    <w:p w:rsidR="00C94245" w:rsidRDefault="00C94245" w:rsidP="00977710">
      <w:pPr>
        <w:spacing w:after="0" w:line="276" w:lineRule="auto"/>
        <w:rPr>
          <w:sz w:val="20"/>
          <w:szCs w:val="20"/>
        </w:rPr>
      </w:pPr>
    </w:p>
    <w:p w:rsidR="00C94245" w:rsidRPr="008E01BE" w:rsidRDefault="00C94245" w:rsidP="00977710">
      <w:pPr>
        <w:spacing w:after="0" w:line="276" w:lineRule="auto"/>
        <w:rPr>
          <w:sz w:val="20"/>
          <w:szCs w:val="20"/>
        </w:rPr>
      </w:pPr>
    </w:p>
    <w:p w:rsidR="00977710" w:rsidRDefault="00977710" w:rsidP="00977710">
      <w:pPr>
        <w:spacing w:line="276" w:lineRule="auto"/>
      </w:pPr>
    </w:p>
    <w:p w:rsidR="00977710" w:rsidRDefault="00977710">
      <w:pPr>
        <w:spacing w:after="3" w:line="265" w:lineRule="auto"/>
        <w:ind w:right="1"/>
        <w:jc w:val="center"/>
      </w:pPr>
    </w:p>
    <w:p w:rsidR="00EE3EC6" w:rsidRDefault="00A6148F">
      <w:pPr>
        <w:spacing w:after="3" w:line="265" w:lineRule="auto"/>
        <w:ind w:right="1"/>
        <w:jc w:val="center"/>
      </w:pPr>
      <w:r>
        <w:t xml:space="preserve">- nachfolgend „die Vertragspartner“ genannt – </w:t>
      </w:r>
    </w:p>
    <w:p w:rsidR="006679DA" w:rsidRDefault="006679DA">
      <w:pPr>
        <w:spacing w:after="3" w:line="265" w:lineRule="auto"/>
        <w:ind w:right="1"/>
        <w:jc w:val="center"/>
      </w:pPr>
    </w:p>
    <w:p w:rsidR="006679DA" w:rsidRDefault="006679DA">
      <w:pPr>
        <w:spacing w:after="3" w:line="265" w:lineRule="auto"/>
        <w:ind w:right="1"/>
        <w:jc w:val="center"/>
      </w:pPr>
    </w:p>
    <w:p w:rsidR="006679DA" w:rsidRDefault="006679DA">
      <w:pPr>
        <w:spacing w:after="3" w:line="265" w:lineRule="auto"/>
        <w:ind w:right="1"/>
        <w:jc w:val="center"/>
      </w:pPr>
    </w:p>
    <w:p w:rsidR="00C01583" w:rsidRDefault="00C01583">
      <w:pPr>
        <w:spacing w:after="3" w:line="265" w:lineRule="auto"/>
        <w:ind w:right="1"/>
        <w:jc w:val="center"/>
      </w:pPr>
    </w:p>
    <w:p w:rsidR="00C01583" w:rsidRDefault="00C01583">
      <w:pPr>
        <w:spacing w:after="3" w:line="265" w:lineRule="auto"/>
        <w:ind w:right="1"/>
        <w:jc w:val="center"/>
      </w:pPr>
    </w:p>
    <w:p w:rsidR="00C01583" w:rsidRDefault="00C01583">
      <w:pPr>
        <w:spacing w:after="3" w:line="265" w:lineRule="auto"/>
        <w:ind w:right="1"/>
        <w:jc w:val="center"/>
      </w:pPr>
    </w:p>
    <w:p w:rsidR="006679DA" w:rsidRDefault="006679DA">
      <w:pPr>
        <w:spacing w:after="3" w:line="265" w:lineRule="auto"/>
        <w:ind w:right="1"/>
        <w:jc w:val="center"/>
      </w:pPr>
    </w:p>
    <w:p w:rsidR="006679DA" w:rsidRDefault="006679DA">
      <w:pPr>
        <w:spacing w:after="3" w:line="265" w:lineRule="auto"/>
        <w:ind w:right="1"/>
        <w:jc w:val="center"/>
      </w:pPr>
    </w:p>
    <w:p w:rsidR="006679DA" w:rsidRDefault="00C01583">
      <w:pPr>
        <w:spacing w:after="3" w:line="265" w:lineRule="auto"/>
        <w:ind w:right="1"/>
        <w:jc w:val="center"/>
      </w:pPr>
      <w:r>
        <w:rPr>
          <w:noProof/>
        </w:rPr>
        <w:drawing>
          <wp:inline distT="0" distB="0" distL="0" distR="0">
            <wp:extent cx="5761990" cy="1117998"/>
            <wp:effectExtent l="0" t="0" r="0" b="0"/>
            <wp:docPr id="5" name="Grafik 5" descr="GWE_27,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WE_27,5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1990" cy="1117998"/>
                    </a:xfrm>
                    <a:prstGeom prst="rect">
                      <a:avLst/>
                    </a:prstGeom>
                    <a:noFill/>
                    <a:ln>
                      <a:noFill/>
                    </a:ln>
                  </pic:spPr>
                </pic:pic>
              </a:graphicData>
            </a:graphic>
          </wp:inline>
        </w:drawing>
      </w:r>
    </w:p>
    <w:p w:rsidR="006679DA" w:rsidRDefault="006679DA">
      <w:pPr>
        <w:spacing w:after="3" w:line="265" w:lineRule="auto"/>
        <w:ind w:right="1"/>
        <w:jc w:val="center"/>
      </w:pPr>
    </w:p>
    <w:p w:rsidR="00C01583" w:rsidRDefault="00C01583">
      <w:pPr>
        <w:spacing w:after="3" w:line="265" w:lineRule="auto"/>
        <w:ind w:right="1"/>
        <w:jc w:val="center"/>
      </w:pPr>
    </w:p>
    <w:p w:rsidR="00C01583" w:rsidRDefault="00C01583">
      <w:pPr>
        <w:spacing w:after="3" w:line="265" w:lineRule="auto"/>
        <w:ind w:right="1"/>
        <w:jc w:val="center"/>
      </w:pPr>
    </w:p>
    <w:p w:rsidR="00C01583" w:rsidRDefault="00C01583">
      <w:pPr>
        <w:spacing w:after="3" w:line="265" w:lineRule="auto"/>
        <w:ind w:right="1"/>
        <w:jc w:val="center"/>
      </w:pPr>
    </w:p>
    <w:p w:rsidR="00EE3EC6" w:rsidRDefault="00A6148F">
      <w:pPr>
        <w:pStyle w:val="berschrift1"/>
        <w:tabs>
          <w:tab w:val="center" w:pos="2444"/>
        </w:tabs>
        <w:spacing w:after="249"/>
        <w:ind w:left="-15" w:firstLine="0"/>
      </w:pPr>
      <w:r>
        <w:t xml:space="preserve">1  </w:t>
      </w:r>
      <w:r>
        <w:tab/>
        <w:t xml:space="preserve">Zielsetzung und Geltungsbereich </w:t>
      </w:r>
    </w:p>
    <w:p w:rsidR="006679DA" w:rsidRDefault="00A6148F" w:rsidP="006679DA">
      <w:pPr>
        <w:pStyle w:val="Listenabsatz"/>
        <w:numPr>
          <w:ilvl w:val="1"/>
          <w:numId w:val="5"/>
        </w:numPr>
        <w:spacing w:after="3" w:line="265" w:lineRule="auto"/>
        <w:ind w:right="0"/>
        <w:jc w:val="both"/>
      </w:pPr>
      <w:r>
        <w:t>Die "EDI-Vereinbarung", nachfolgend "die Vereinbarung" genannt, legt die rechtlichen</w:t>
      </w:r>
    </w:p>
    <w:p w:rsidR="00EE3EC6" w:rsidRDefault="00A6148F" w:rsidP="006679DA">
      <w:pPr>
        <w:pStyle w:val="Listenabsatz"/>
        <w:spacing w:after="3" w:line="265" w:lineRule="auto"/>
        <w:ind w:left="705" w:right="0" w:firstLine="0"/>
        <w:jc w:val="both"/>
      </w:pPr>
      <w:r>
        <w:t xml:space="preserve">Bedingungen und Vorschriften fest, denen die Parteien bei der Abwicklung von </w:t>
      </w:r>
    </w:p>
    <w:p w:rsidR="00EE3EC6" w:rsidRDefault="00A6148F" w:rsidP="006679DA">
      <w:pPr>
        <w:ind w:left="718" w:right="0"/>
        <w:jc w:val="both"/>
      </w:pPr>
      <w:r>
        <w:t xml:space="preserve">Transaktionen im Rahmen des Geschäftsprozesses Netznutzungsabrechnung mit Hilfe des elektronischen Datenaustausches (EDI) unterliegen. Hinsichtlich des automatisierten Datenaustauschs hat die Bundesnetzagentur verbindliche Festlegungen zu einheitlichen Geschäftsprozessen und Datenformaten für Strom (GPKE) und Gas (GeLi Gas) getroffen. Der Datenaustausch erfolgt auf der Grundlage dieser Festlegungen in ihrer jeweils gültigen Fassung in Verbindung mit den entsprechenden Mitteilungen der BNetzA und den gültigen Nachrichten- und </w:t>
      </w:r>
      <w:r w:rsidR="006679DA">
        <w:t xml:space="preserve"> </w:t>
      </w:r>
      <w:r>
        <w:t xml:space="preserve">Prozessbeschreibungen zu den festgelegten Formaten. Der Lieferantenwechselprozess ist ausschließlich im Lieferantenrahmenvertrag geregelt.  </w:t>
      </w:r>
    </w:p>
    <w:p w:rsidR="00EE3EC6" w:rsidRDefault="00A6148F" w:rsidP="006679DA">
      <w:pPr>
        <w:ind w:left="695" w:right="0" w:hanging="708"/>
        <w:jc w:val="both"/>
      </w:pPr>
      <w:r>
        <w:t xml:space="preserve">1.2  </w:t>
      </w:r>
      <w:r>
        <w:tab/>
        <w:t xml:space="preserve">Die Vereinbarung besteht aus den nachfolgenden Rechtlichen Bestimmungen und wird durch einen Technischen Anhang ergänzt.  </w:t>
      </w:r>
    </w:p>
    <w:p w:rsidR="00EE3EC6" w:rsidRDefault="00A6148F" w:rsidP="006679DA">
      <w:pPr>
        <w:spacing w:after="494"/>
        <w:ind w:left="695" w:right="0" w:hanging="708"/>
        <w:jc w:val="both"/>
      </w:pPr>
      <w:r>
        <w:t xml:space="preserve">1.3  </w:t>
      </w:r>
      <w:r>
        <w:tab/>
        <w:t xml:space="preserve">Sofern die Parteien nicht anderweitig übereinkommen, regeln die Bestimmungen der Vereinbarung nicht die vertraglichen Verpflichtungen, die sich aus den über EDI abgewickelten Transaktionen ergeben.  </w:t>
      </w:r>
    </w:p>
    <w:p w:rsidR="00EE3EC6" w:rsidRDefault="00A6148F">
      <w:pPr>
        <w:pStyle w:val="berschrift1"/>
        <w:tabs>
          <w:tab w:val="center" w:pos="1907"/>
        </w:tabs>
        <w:spacing w:after="249"/>
        <w:ind w:left="-15" w:firstLine="0"/>
      </w:pPr>
      <w:r>
        <w:t xml:space="preserve">2  </w:t>
      </w:r>
      <w:r>
        <w:tab/>
        <w:t xml:space="preserve">Begriffsbestimmungen  </w:t>
      </w:r>
    </w:p>
    <w:p w:rsidR="00EE3EC6" w:rsidRDefault="00A6148F">
      <w:pPr>
        <w:tabs>
          <w:tab w:val="center" w:pos="4390"/>
        </w:tabs>
        <w:ind w:left="-13" w:right="0" w:firstLine="0"/>
      </w:pPr>
      <w:r>
        <w:t xml:space="preserve">2.1  </w:t>
      </w:r>
      <w:r>
        <w:tab/>
        <w:t xml:space="preserve">Für die Vereinbarung werden die nachstehenden Begriffe wie folgt definiert:  </w:t>
      </w:r>
    </w:p>
    <w:p w:rsidR="00EE3EC6" w:rsidRDefault="00A6148F">
      <w:pPr>
        <w:tabs>
          <w:tab w:val="center" w:pos="926"/>
        </w:tabs>
        <w:spacing w:after="4" w:line="251" w:lineRule="auto"/>
        <w:ind w:left="-15" w:right="0" w:firstLine="0"/>
      </w:pPr>
      <w:r>
        <w:t xml:space="preserve">2.2  </w:t>
      </w:r>
      <w:r>
        <w:tab/>
      </w:r>
      <w:r>
        <w:rPr>
          <w:b/>
        </w:rPr>
        <w:t>EDI:</w:t>
      </w:r>
    </w:p>
    <w:p w:rsidR="00EE3EC6" w:rsidRDefault="00A6148F" w:rsidP="006679DA">
      <w:pPr>
        <w:ind w:left="715" w:right="0"/>
        <w:jc w:val="both"/>
      </w:pPr>
      <w:r>
        <w:t xml:space="preserve">Als elektronischer Datenaustausch wird die elektronische Übertragung kommerzieller und administrativer Daten zwischen Computern nach einer vereinbarten Norm zur Strukturierung einer EDI-Nachricht bezeichnet.  </w:t>
      </w:r>
    </w:p>
    <w:p w:rsidR="00EE3EC6" w:rsidRDefault="00A6148F">
      <w:pPr>
        <w:tabs>
          <w:tab w:val="center" w:pos="1471"/>
        </w:tabs>
        <w:spacing w:after="4" w:line="251" w:lineRule="auto"/>
        <w:ind w:left="-15" w:right="0" w:firstLine="0"/>
      </w:pPr>
      <w:r>
        <w:t xml:space="preserve">2.3  </w:t>
      </w:r>
      <w:r>
        <w:tab/>
      </w:r>
      <w:r>
        <w:rPr>
          <w:b/>
        </w:rPr>
        <w:t>EDI-Nachricht:</w:t>
      </w:r>
    </w:p>
    <w:p w:rsidR="00EE3EC6" w:rsidRDefault="00A6148F" w:rsidP="006679DA">
      <w:pPr>
        <w:ind w:left="715" w:right="0"/>
        <w:jc w:val="both"/>
      </w:pPr>
      <w:r>
        <w:t xml:space="preserve">Als EDI-Nachricht wird eine Gruppe von Segmenten bezeichnet, die nach einer vereinbarten Norm strukturiert, in ein rechnerlesbares Format gebracht wird und sich automatisch und eindeutig verarbeiten lässt.  </w:t>
      </w:r>
    </w:p>
    <w:p w:rsidR="00EE3EC6" w:rsidRDefault="00A6148F">
      <w:pPr>
        <w:tabs>
          <w:tab w:val="center" w:pos="1407"/>
        </w:tabs>
        <w:spacing w:after="4" w:line="251" w:lineRule="auto"/>
        <w:ind w:left="-15" w:right="0" w:firstLine="0"/>
      </w:pPr>
      <w:r>
        <w:t xml:space="preserve">2.4  </w:t>
      </w:r>
      <w:r>
        <w:tab/>
      </w:r>
      <w:r>
        <w:rPr>
          <w:b/>
        </w:rPr>
        <w:t>UN/EDIFACT:</w:t>
      </w:r>
    </w:p>
    <w:p w:rsidR="00EE3EC6" w:rsidRDefault="00A6148F" w:rsidP="006679DA">
      <w:pPr>
        <w:spacing w:after="10"/>
        <w:ind w:left="715" w:right="0"/>
        <w:jc w:val="both"/>
      </w:pPr>
      <w:r>
        <w:t xml:space="preserve">Gemäß der Definition durch die UN/ECE (United Nations Economic Commission for </w:t>
      </w:r>
    </w:p>
    <w:p w:rsidR="00EE3EC6" w:rsidRDefault="00A6148F" w:rsidP="006679DA">
      <w:pPr>
        <w:spacing w:after="494"/>
        <w:ind w:left="715" w:right="0"/>
        <w:jc w:val="both"/>
      </w:pPr>
      <w:r>
        <w:t xml:space="preserve">Europe - Wirtschaftskommission der Vereinten Nationen für Europa) umfassen die Vorschriften der Vereinten Nationen für den elektronischen Datenaustausch in Verwaltung, Handel, Transport und Verkehr eine Reihe international vereinbarter Normen, Verzeichnisse und Leitlinien für den elektronischen Austausch strukturierter Daten, insbesondere für den Austausch zwischen unabhängigen rechnergestützten Informationssystemen in Verbindung mit dem Waren- und Dienstleistungsverkehr.  </w:t>
      </w:r>
    </w:p>
    <w:p w:rsidR="00C01583" w:rsidRDefault="00C01583" w:rsidP="006679DA">
      <w:pPr>
        <w:spacing w:after="494"/>
        <w:ind w:left="715" w:right="0"/>
        <w:jc w:val="both"/>
      </w:pPr>
    </w:p>
    <w:p w:rsidR="006679DA" w:rsidRDefault="00C01583">
      <w:pPr>
        <w:ind w:left="692" w:right="0" w:hanging="705"/>
      </w:pPr>
      <w:r>
        <w:rPr>
          <w:noProof/>
        </w:rPr>
        <w:lastRenderedPageBreak/>
        <w:drawing>
          <wp:inline distT="0" distB="0" distL="0" distR="0">
            <wp:extent cx="5761990" cy="1117998"/>
            <wp:effectExtent l="0" t="0" r="0" b="0"/>
            <wp:docPr id="4" name="Grafik 4" descr="GWE_27,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WE_27,5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1990" cy="1117998"/>
                    </a:xfrm>
                    <a:prstGeom prst="rect">
                      <a:avLst/>
                    </a:prstGeom>
                    <a:noFill/>
                    <a:ln>
                      <a:noFill/>
                    </a:ln>
                  </pic:spPr>
                </pic:pic>
              </a:graphicData>
            </a:graphic>
          </wp:inline>
        </w:drawing>
      </w:r>
    </w:p>
    <w:p w:rsidR="00C01583" w:rsidRDefault="00C01583" w:rsidP="00C01583">
      <w:pPr>
        <w:spacing w:after="494"/>
        <w:ind w:left="715" w:right="0"/>
        <w:jc w:val="both"/>
      </w:pPr>
    </w:p>
    <w:p w:rsidR="00C01583" w:rsidRDefault="00C01583" w:rsidP="00C01583">
      <w:pPr>
        <w:pStyle w:val="berschrift1"/>
        <w:tabs>
          <w:tab w:val="center" w:pos="3918"/>
        </w:tabs>
        <w:spacing w:after="249"/>
        <w:ind w:left="-15" w:firstLine="0"/>
      </w:pPr>
      <w:r>
        <w:t xml:space="preserve">3  </w:t>
      </w:r>
      <w:r>
        <w:tab/>
        <w:t xml:space="preserve">Verarbeitung und Empfangsbestätigung von EDI-Nachrichten </w:t>
      </w:r>
    </w:p>
    <w:p w:rsidR="00C01583" w:rsidRDefault="00C01583" w:rsidP="00C01583">
      <w:pPr>
        <w:ind w:left="692" w:right="0" w:hanging="705"/>
      </w:pPr>
      <w:r>
        <w:t xml:space="preserve">3.1  </w:t>
      </w:r>
      <w:r>
        <w:tab/>
        <w:t xml:space="preserve">Die Nachrichten werden so bald wie möglich nach dem Empfang verarbeitet, in jedem Fall jedoch innerhalb der in GPKE/ GeLi festgelegten Fristen.  </w:t>
      </w:r>
    </w:p>
    <w:p w:rsidR="00C01583" w:rsidRDefault="00C01583" w:rsidP="00C01583">
      <w:pPr>
        <w:ind w:left="692" w:right="0" w:hanging="705"/>
      </w:pPr>
      <w:r>
        <w:t xml:space="preserve">3.2  </w:t>
      </w:r>
      <w:r>
        <w:tab/>
        <w:t xml:space="preserve">Eine Empfangsbestätigung ist nach den Festlegungen der Bundesnetzagentur (GPKE und GeLi Gas) bzw. nach dem Lieferantenrahmenvertrag erforderlich.  </w:t>
      </w:r>
    </w:p>
    <w:p w:rsidR="006679DA" w:rsidRDefault="006679DA">
      <w:pPr>
        <w:ind w:left="692" w:right="0" w:hanging="705"/>
      </w:pPr>
    </w:p>
    <w:p w:rsidR="00EE3EC6" w:rsidRDefault="00A6148F">
      <w:pPr>
        <w:pStyle w:val="berschrift1"/>
        <w:tabs>
          <w:tab w:val="center" w:pos="2392"/>
        </w:tabs>
        <w:spacing w:after="272"/>
        <w:ind w:left="-15" w:firstLine="0"/>
      </w:pPr>
      <w:r>
        <w:t xml:space="preserve">4  </w:t>
      </w:r>
      <w:r>
        <w:tab/>
        <w:t>Sicherheit von EDI-Nachrichten</w:t>
      </w:r>
      <w:r>
        <w:rPr>
          <w:vertAlign w:val="superscript"/>
        </w:rPr>
        <w:t>1</w:t>
      </w:r>
    </w:p>
    <w:p w:rsidR="00EE3EC6" w:rsidRDefault="00A6148F" w:rsidP="006679DA">
      <w:pPr>
        <w:ind w:left="692" w:right="0" w:hanging="705"/>
        <w:jc w:val="both"/>
      </w:pPr>
      <w:r>
        <w:t xml:space="preserve">4.1  </w:t>
      </w:r>
      <w:r>
        <w:tab/>
        <w:t xml:space="preserve">Die Parteien verpflichten sich, Sicherheitsverfahren und -maßnahmen durchzuführen und aufrechtzuerhalten, um EDI-Nachrichten vor unbefugtem Zugriff, Veränderungen, Verzögerung, Zerstörung oder Verlust zu schützen. </w:t>
      </w:r>
    </w:p>
    <w:p w:rsidR="00EE3EC6" w:rsidRDefault="00A6148F" w:rsidP="006679DA">
      <w:pPr>
        <w:ind w:left="692" w:right="0" w:hanging="705"/>
        <w:jc w:val="both"/>
      </w:pPr>
      <w:r>
        <w:t xml:space="preserve">4.2  </w:t>
      </w:r>
      <w:r>
        <w:tab/>
        <w:t xml:space="preserve">Zu den Sicherheitsverfahren und -maßnahmen gehören die Überprüfung des Ursprungs, die Überprüfung der Integrität, die Nichtabstreitbarkeit von Ursprung und Empfang sowie die Gewährleistung der Vertraulichkeit von EDI-Nachrichten.  </w:t>
      </w:r>
    </w:p>
    <w:p w:rsidR="00EE3EC6" w:rsidRDefault="00A6148F" w:rsidP="006679DA">
      <w:pPr>
        <w:ind w:left="718" w:right="0"/>
        <w:jc w:val="both"/>
      </w:pPr>
      <w:r>
        <w:t xml:space="preserve">Sicherheitsverfahren und -maßnahmen zur Überprüfung des Ursprungs und der Integrität, um den Sender einer EDI-Nachricht zu identifizieren und sicherzustellen, dass jede empfangene EDI-Nachricht vollständig ist und nicht verstümmelt wurde, sind für alle Nachrichten obligatorisch. Bei Bedarf können im Technischen Anhang zusätzliche Sicherheitsverfahren und -maßnahmen festgelegt werden.  </w:t>
      </w:r>
    </w:p>
    <w:p w:rsidR="00EE3EC6" w:rsidRDefault="00A6148F" w:rsidP="006679DA">
      <w:pPr>
        <w:ind w:left="692" w:right="0" w:hanging="705"/>
        <w:jc w:val="both"/>
      </w:pPr>
      <w:r>
        <w:t xml:space="preserve">4.3  </w:t>
      </w:r>
      <w:r>
        <w:tab/>
        <w:t xml:space="preserve">Führen die Sicherheitsverfahren und -maßnahmen zur Zurückweisung einer EDINachricht informiert der Empfänger den Sender darüber unverzüglich.  </w:t>
      </w:r>
    </w:p>
    <w:p w:rsidR="00EE3EC6" w:rsidRDefault="00A6148F" w:rsidP="006679DA">
      <w:pPr>
        <w:spacing w:after="497"/>
        <w:ind w:left="718" w:right="0"/>
        <w:jc w:val="both"/>
      </w:pPr>
      <w:r>
        <w:t xml:space="preserve">Der Empfänger einer EDI-Nachricht, die zurückgewiesen wurde oder einen Fehler enthält, reagiert erst dann auf die Nachricht, wenn er Anweisungen des Senders empfängt.  </w:t>
      </w:r>
    </w:p>
    <w:p w:rsidR="00EE3EC6" w:rsidRDefault="00A6148F">
      <w:pPr>
        <w:pStyle w:val="berschrift1"/>
        <w:tabs>
          <w:tab w:val="center" w:pos="3508"/>
        </w:tabs>
        <w:spacing w:after="247"/>
        <w:ind w:left="-15" w:firstLine="0"/>
      </w:pPr>
      <w:r>
        <w:t xml:space="preserve">5  </w:t>
      </w:r>
      <w:r>
        <w:tab/>
        <w:t xml:space="preserve">Vertraulichkeit und Schutz personenbezogener Daten </w:t>
      </w:r>
    </w:p>
    <w:p w:rsidR="00EE3EC6" w:rsidRDefault="00A6148F" w:rsidP="006679DA">
      <w:pPr>
        <w:ind w:left="692" w:right="0" w:hanging="705"/>
        <w:jc w:val="both"/>
      </w:pPr>
      <w:r>
        <w:t xml:space="preserve">5.1  </w:t>
      </w:r>
      <w:r>
        <w:tab/>
        <w:t xml:space="preserve">Die Parteien gewährleisten, dass EDI-Nachrichten mit Informationen, die vom Sender oder im beiderseitigen Einvernehmen der Parteien als vertraulich eingestuft werden, vertraulich gehandhabt und weder an unbefugte Personen weitergegeben oder gesendet, noch zu anderen als von den Parteien vorgesehenen Zwecken verwendet werden. Das Bundesdatenschutzgesetz (BDSG) ist zu beachten.  </w:t>
      </w:r>
    </w:p>
    <w:p w:rsidR="00EE3EC6" w:rsidRDefault="00A6148F" w:rsidP="006679DA">
      <w:pPr>
        <w:ind w:left="715" w:right="0"/>
        <w:jc w:val="both"/>
      </w:pPr>
      <w:r>
        <w:t xml:space="preserve">Mit entsprechender Berechtigung unterliegt die weitere Übertragung derartiger vertraulicher Informationen demselben Vertraulichkeitsgrad.  </w:t>
      </w:r>
    </w:p>
    <w:p w:rsidR="006679DA" w:rsidRDefault="00A6148F" w:rsidP="00C01583">
      <w:pPr>
        <w:spacing w:after="496"/>
        <w:ind w:left="692" w:right="0" w:hanging="705"/>
        <w:jc w:val="both"/>
      </w:pPr>
      <w:r>
        <w:t xml:space="preserve">5.2  </w:t>
      </w:r>
      <w:r>
        <w:tab/>
        <w:t xml:space="preserve">EDI-Nachrichten werden nicht als Träger vertraulicher Informationen betrachtet, soweit die Informationen allgemein zugänglich sind.  </w:t>
      </w:r>
    </w:p>
    <w:p w:rsidR="006679DA" w:rsidRDefault="006679DA">
      <w:pPr>
        <w:ind w:left="692" w:right="0" w:hanging="705"/>
      </w:pPr>
    </w:p>
    <w:p w:rsidR="006679DA" w:rsidRDefault="00C01583">
      <w:pPr>
        <w:ind w:left="692" w:right="0" w:hanging="705"/>
      </w:pPr>
      <w:r>
        <w:rPr>
          <w:noProof/>
        </w:rPr>
        <w:lastRenderedPageBreak/>
        <w:drawing>
          <wp:inline distT="0" distB="0" distL="0" distR="0">
            <wp:extent cx="5761990" cy="1117998"/>
            <wp:effectExtent l="0" t="0" r="0" b="0"/>
            <wp:docPr id="3" name="Grafik 3" descr="GWE_27,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WE_27,5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1990" cy="1117998"/>
                    </a:xfrm>
                    <a:prstGeom prst="rect">
                      <a:avLst/>
                    </a:prstGeom>
                    <a:noFill/>
                    <a:ln>
                      <a:noFill/>
                    </a:ln>
                  </pic:spPr>
                </pic:pic>
              </a:graphicData>
            </a:graphic>
          </wp:inline>
        </w:drawing>
      </w:r>
    </w:p>
    <w:p w:rsidR="00C01583" w:rsidRDefault="00C01583">
      <w:pPr>
        <w:ind w:left="692" w:right="0" w:hanging="705"/>
      </w:pPr>
    </w:p>
    <w:p w:rsidR="00C01583" w:rsidRDefault="00C01583" w:rsidP="00C01583">
      <w:pPr>
        <w:pStyle w:val="berschrift1"/>
        <w:tabs>
          <w:tab w:val="center" w:pos="3270"/>
        </w:tabs>
        <w:spacing w:after="247"/>
        <w:ind w:left="-15" w:firstLine="0"/>
      </w:pPr>
      <w:r>
        <w:t xml:space="preserve">6  </w:t>
      </w:r>
      <w:r>
        <w:tab/>
        <w:t xml:space="preserve">Aufzeichnung und Archivierung von Nachrichten </w:t>
      </w:r>
    </w:p>
    <w:p w:rsidR="00C01583" w:rsidRDefault="00C01583" w:rsidP="00C01583">
      <w:pPr>
        <w:ind w:left="692" w:right="0" w:hanging="705"/>
        <w:jc w:val="both"/>
      </w:pPr>
      <w:r>
        <w:t xml:space="preserve">6.1  </w:t>
      </w:r>
      <w:r>
        <w:tab/>
        <w:t xml:space="preserve">Jede Partei archiviert ein vollständiges, chronologisches Protokoll aller von den Parteien während einer geschäftlichen Transaktion i.S.d. Art. 1 ausgetauschten EDINachrichten unverändert und sicher gemäß den Fristen und Spezifikationen, die durch die bestehenden rechtlichen Grundlagen (insbesondere nach den handels- und steuerrechtlichen Vorschriften und nach GPKE /GeLi Gas) vorgeschrieben sind. Die Servicenachrichten CONTRL und APERAK fallen nicht unter diese Archivierungsvorschriften.  </w:t>
      </w:r>
    </w:p>
    <w:p w:rsidR="00C01583" w:rsidRDefault="00C01583">
      <w:pPr>
        <w:ind w:left="692" w:right="0" w:hanging="705"/>
      </w:pPr>
    </w:p>
    <w:p w:rsidR="00EE3EC6" w:rsidRDefault="00A6148F" w:rsidP="006679DA">
      <w:pPr>
        <w:spacing w:after="313"/>
        <w:ind w:left="692" w:right="0" w:hanging="705"/>
        <w:jc w:val="both"/>
      </w:pPr>
      <w:r>
        <w:t xml:space="preserve">6.2  </w:t>
      </w:r>
      <w:r>
        <w:tab/>
        <w:t>Die Nachrichten werden vom Sender im übertragenen Format und vom Empfänger in dem Format archiviert , in dem sie empfangen werden. H</w:t>
      </w:r>
      <w:r w:rsidR="006679DA">
        <w:t>ierbei ist zusätzlich sicher zu</w:t>
      </w:r>
      <w:r w:rsidR="00977710">
        <w:t xml:space="preserve"> </w:t>
      </w:r>
      <w:r>
        <w:t xml:space="preserve">stellen, dass die Lesbarkeit über den gesetzlichen Aufbewahrungszeitraum gewährleistet wird.  </w:t>
      </w:r>
    </w:p>
    <w:p w:rsidR="00EE3EC6" w:rsidRDefault="00A6148F" w:rsidP="006679DA">
      <w:pPr>
        <w:spacing w:after="501"/>
        <w:ind w:left="692" w:right="0" w:hanging="705"/>
        <w:jc w:val="both"/>
      </w:pPr>
      <w:r>
        <w:t xml:space="preserve">6.3  </w:t>
      </w:r>
      <w:r>
        <w:tab/>
        <w:t xml:space="preserve">Die Parteien stellen sicher, dass elektronische Protokolle der EDI-Nachrichten problemlos zugänglich sind und bei Bedarf in einer für Menschen lesbaren Form reproduziert und gedruckt werden können. Betriebseinrichtungen, die hierzu erforderlich sind, müssen beibehalten werden.  </w:t>
      </w:r>
    </w:p>
    <w:p w:rsidR="00EE3EC6" w:rsidRDefault="00A6148F">
      <w:pPr>
        <w:pStyle w:val="berschrift1"/>
        <w:tabs>
          <w:tab w:val="center" w:pos="3246"/>
        </w:tabs>
        <w:spacing w:after="271"/>
        <w:ind w:left="-15" w:firstLine="0"/>
      </w:pPr>
      <w:r>
        <w:t xml:space="preserve">7  </w:t>
      </w:r>
      <w:r>
        <w:tab/>
        <w:t>Technische Spezifikationen und Anforderungen</w:t>
      </w:r>
      <w:r>
        <w:rPr>
          <w:vertAlign w:val="superscript"/>
        </w:rPr>
        <w:footnoteReference w:id="1"/>
      </w:r>
    </w:p>
    <w:p w:rsidR="00EE3EC6" w:rsidRDefault="00A6148F" w:rsidP="006679DA">
      <w:pPr>
        <w:ind w:left="-3" w:right="0"/>
        <w:jc w:val="both"/>
      </w:pPr>
      <w:r>
        <w:t xml:space="preserve">Der Technische Anhang enthält die technischen, organisatorischen und verfahrenstechnischen Spezifikationen und Anforderungen für den Betrieb von EDI gemäß den Bestimmungen dieser Vereinbarung, zu denen beispielsweise die folgende Bedingung gehört: </w:t>
      </w:r>
    </w:p>
    <w:p w:rsidR="00EE3EC6" w:rsidRDefault="00A6148F">
      <w:pPr>
        <w:spacing w:after="492"/>
        <w:ind w:left="-3" w:right="0"/>
      </w:pPr>
      <w:r>
        <w:t xml:space="preserve">- Kontaktdaten  </w:t>
      </w:r>
    </w:p>
    <w:p w:rsidR="00EE3EC6" w:rsidRDefault="00A6148F">
      <w:pPr>
        <w:pStyle w:val="berschrift1"/>
        <w:tabs>
          <w:tab w:val="center" w:pos="3434"/>
        </w:tabs>
        <w:spacing w:after="487"/>
        <w:ind w:left="-15" w:firstLine="0"/>
      </w:pPr>
      <w:r>
        <w:t xml:space="preserve">8  </w:t>
      </w:r>
      <w:r>
        <w:tab/>
        <w:t xml:space="preserve">Inkrafttreten, Änderungen, Dauer und Teilnichtigkeit </w:t>
      </w:r>
    </w:p>
    <w:p w:rsidR="00EE3EC6" w:rsidRDefault="00A6148F" w:rsidP="00C01583">
      <w:pPr>
        <w:tabs>
          <w:tab w:val="center" w:pos="1090"/>
        </w:tabs>
        <w:ind w:right="0"/>
      </w:pPr>
      <w:r>
        <w:t xml:space="preserve">8.1  </w:t>
      </w:r>
      <w:r>
        <w:tab/>
        <w:t xml:space="preserve">Laufzeit  </w:t>
      </w:r>
    </w:p>
    <w:p w:rsidR="00EE3EC6" w:rsidRDefault="00A6148F" w:rsidP="006679DA">
      <w:pPr>
        <w:ind w:left="-3" w:right="0"/>
        <w:jc w:val="both"/>
      </w:pPr>
      <w:r>
        <w:t xml:space="preserve">Die Vereinbarung tritt mit dem Datum der Unterzeichnung durch die Parteien in Kraft. </w:t>
      </w:r>
    </w:p>
    <w:p w:rsidR="00EE3EC6" w:rsidRDefault="00A6148F" w:rsidP="006679DA">
      <w:pPr>
        <w:spacing w:after="314"/>
        <w:ind w:left="-3" w:right="0"/>
        <w:jc w:val="both"/>
      </w:pPr>
      <w:r>
        <w:t xml:space="preserve">Jede Partei kann die Vereinbarung mit einer Kündigungsfrist von einem Monat zum Ende eines Kalendermonats schriftlich kündigen.  </w:t>
      </w:r>
    </w:p>
    <w:p w:rsidR="006679DA" w:rsidRDefault="00A6148F" w:rsidP="00C01583">
      <w:pPr>
        <w:ind w:left="-3" w:right="0"/>
        <w:jc w:val="both"/>
      </w:pPr>
      <w:r>
        <w:t xml:space="preserve">Ungeachtet einer Kündigung bestehen die in den Artikeln 5 und 6 genannten Rechte und Pflichten der Parteien auch nach der Kündigung fort.  </w:t>
      </w:r>
    </w:p>
    <w:p w:rsidR="006679DA" w:rsidRDefault="00C01583">
      <w:pPr>
        <w:ind w:left="-3" w:right="0"/>
      </w:pPr>
      <w:r>
        <w:rPr>
          <w:noProof/>
        </w:rPr>
        <w:lastRenderedPageBreak/>
        <w:drawing>
          <wp:inline distT="0" distB="0" distL="0" distR="0">
            <wp:extent cx="5761990" cy="1117998"/>
            <wp:effectExtent l="0" t="0" r="0" b="0"/>
            <wp:docPr id="2" name="Grafik 2" descr="GWE_27,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WE_27,5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1990" cy="1117998"/>
                    </a:xfrm>
                    <a:prstGeom prst="rect">
                      <a:avLst/>
                    </a:prstGeom>
                    <a:noFill/>
                    <a:ln>
                      <a:noFill/>
                    </a:ln>
                  </pic:spPr>
                </pic:pic>
              </a:graphicData>
            </a:graphic>
          </wp:inline>
        </w:drawing>
      </w:r>
    </w:p>
    <w:p w:rsidR="006679DA" w:rsidRDefault="006679DA">
      <w:pPr>
        <w:ind w:left="-3" w:right="0"/>
      </w:pPr>
    </w:p>
    <w:p w:rsidR="006679DA" w:rsidRDefault="006679DA">
      <w:pPr>
        <w:ind w:left="-3" w:right="0"/>
      </w:pPr>
    </w:p>
    <w:p w:rsidR="00C01583" w:rsidRDefault="00C01583" w:rsidP="00C01583">
      <w:pPr>
        <w:tabs>
          <w:tab w:val="center" w:pos="1307"/>
        </w:tabs>
        <w:ind w:left="-13" w:right="0" w:firstLine="0"/>
      </w:pPr>
      <w:r>
        <w:t xml:space="preserve">8.2  </w:t>
      </w:r>
      <w:r>
        <w:tab/>
        <w:t xml:space="preserve">Änderungen  </w:t>
      </w:r>
    </w:p>
    <w:p w:rsidR="00C01583" w:rsidRDefault="00C01583" w:rsidP="00C01583">
      <w:pPr>
        <w:spacing w:after="202" w:line="275" w:lineRule="auto"/>
        <w:ind w:left="0" w:right="98" w:firstLine="0"/>
        <w:jc w:val="both"/>
      </w:pPr>
      <w:r>
        <w:t xml:space="preserve">Bei Bedarf werden von den Parteien schriftlich vereinbarte zusätzliche oder alternative Bestimmungen zu der Vereinbarung ab dem Zeitpunkt ihrer Unterzeichnung als Teil der Vereinbarung betrachtet.  </w:t>
      </w:r>
    </w:p>
    <w:p w:rsidR="00C01583" w:rsidRDefault="00C01583" w:rsidP="00C01583">
      <w:pPr>
        <w:tabs>
          <w:tab w:val="center" w:pos="1372"/>
        </w:tabs>
        <w:ind w:left="-13" w:right="0" w:firstLine="0"/>
      </w:pPr>
      <w:r>
        <w:t xml:space="preserve">8.3  </w:t>
      </w:r>
      <w:r>
        <w:tab/>
        <w:t xml:space="preserve">Teilnichtigkeit  </w:t>
      </w:r>
    </w:p>
    <w:p w:rsidR="00C01583" w:rsidRDefault="00C01583" w:rsidP="00C01583">
      <w:pPr>
        <w:ind w:left="-3" w:right="0"/>
      </w:pPr>
      <w:r>
        <w:t xml:space="preserve">Sollte ein Artikel oder ein Teil eines Artikels der Vereinbarung als ungültig erachtet werden, bleiben alle übrigen Artikel vollständig in Kraft.  </w:t>
      </w:r>
    </w:p>
    <w:p w:rsidR="006679DA" w:rsidRDefault="006679DA">
      <w:pPr>
        <w:ind w:left="-3" w:right="0"/>
      </w:pPr>
    </w:p>
    <w:p w:rsidR="00C01583" w:rsidRPr="007804BD" w:rsidRDefault="00C01583" w:rsidP="00C01583">
      <w:pPr>
        <w:pStyle w:val="berschrift1"/>
        <w:spacing w:before="87"/>
        <w:rPr>
          <w:b w:val="0"/>
          <w:bCs/>
        </w:rPr>
      </w:pPr>
      <w:r w:rsidRPr="007804BD">
        <w:rPr>
          <w:spacing w:val="-2"/>
        </w:rPr>
        <w:t>Un</w:t>
      </w:r>
      <w:r w:rsidRPr="007804BD">
        <w:t>te</w:t>
      </w:r>
      <w:r w:rsidRPr="007804BD">
        <w:rPr>
          <w:spacing w:val="1"/>
        </w:rPr>
        <w:t>r</w:t>
      </w:r>
      <w:r w:rsidRPr="007804BD">
        <w:t>sc</w:t>
      </w:r>
      <w:r w:rsidRPr="007804BD">
        <w:rPr>
          <w:spacing w:val="-2"/>
        </w:rPr>
        <w:t>h</w:t>
      </w:r>
      <w:r w:rsidRPr="007804BD">
        <w:rPr>
          <w:spacing w:val="1"/>
        </w:rPr>
        <w:t>r</w:t>
      </w:r>
      <w:r w:rsidRPr="007804BD">
        <w:rPr>
          <w:spacing w:val="-2"/>
        </w:rPr>
        <w:t>i</w:t>
      </w:r>
      <w:r w:rsidRPr="007804BD">
        <w:t>ften</w:t>
      </w:r>
    </w:p>
    <w:p w:rsidR="006679DA" w:rsidRDefault="006679DA">
      <w:pPr>
        <w:ind w:left="-3" w:right="0"/>
      </w:pPr>
    </w:p>
    <w:p w:rsidR="00C01583" w:rsidRDefault="00C01583">
      <w:pPr>
        <w:ind w:left="-3" w:right="0"/>
      </w:pPr>
    </w:p>
    <w:p w:rsidR="00C01583" w:rsidRDefault="00C01583" w:rsidP="00C01583">
      <w:pPr>
        <w:pStyle w:val="Textkrper"/>
        <w:tabs>
          <w:tab w:val="left" w:pos="4334"/>
          <w:tab w:val="left" w:pos="8248"/>
        </w:tabs>
        <w:ind w:left="116" w:firstLine="0"/>
      </w:pPr>
      <w:r>
        <w:rPr>
          <w:spacing w:val="1"/>
        </w:rPr>
        <w:t>O</w:t>
      </w:r>
      <w:r>
        <w:rPr>
          <w:spacing w:val="-2"/>
        </w:rPr>
        <w:t>r</w:t>
      </w:r>
      <w:r>
        <w:rPr>
          <w:spacing w:val="1"/>
        </w:rPr>
        <w:t>t</w:t>
      </w:r>
      <w:r>
        <w:t>,</w:t>
      </w:r>
      <w:r>
        <w:rPr>
          <w:u w:val="single" w:color="000000"/>
        </w:rPr>
        <w:tab/>
      </w:r>
      <w:r>
        <w:t>,</w:t>
      </w:r>
      <w:r>
        <w:rPr>
          <w:spacing w:val="2"/>
        </w:rPr>
        <w:t xml:space="preserve"> </w:t>
      </w:r>
      <w:r>
        <w:rPr>
          <w:spacing w:val="-1"/>
        </w:rPr>
        <w:t>de</w:t>
      </w:r>
      <w:r>
        <w:t xml:space="preserve">n </w:t>
      </w:r>
      <w:r>
        <w:rPr>
          <w:spacing w:val="-3"/>
        </w:rPr>
        <w:t xml:space="preserve"> </w:t>
      </w:r>
      <w:r>
        <w:rPr>
          <w:u w:val="single" w:color="000000"/>
        </w:rPr>
        <w:t xml:space="preserve"> </w:t>
      </w:r>
      <w:r>
        <w:rPr>
          <w:u w:val="single" w:color="000000"/>
        </w:rPr>
        <w:tab/>
      </w:r>
    </w:p>
    <w:p w:rsidR="00C01583" w:rsidRDefault="00C01583" w:rsidP="00C01583">
      <w:pPr>
        <w:spacing w:before="9" w:line="130" w:lineRule="exact"/>
        <w:rPr>
          <w:sz w:val="13"/>
          <w:szCs w:val="13"/>
        </w:rPr>
      </w:pPr>
    </w:p>
    <w:p w:rsidR="00C01583" w:rsidRDefault="00C01583" w:rsidP="00C01583">
      <w:pPr>
        <w:spacing w:line="200" w:lineRule="exact"/>
        <w:rPr>
          <w:sz w:val="20"/>
          <w:szCs w:val="20"/>
        </w:rPr>
      </w:pPr>
    </w:p>
    <w:p w:rsidR="00C01583" w:rsidRDefault="00C01583" w:rsidP="00C01583">
      <w:pPr>
        <w:pStyle w:val="Textkrper"/>
        <w:spacing w:before="72"/>
        <w:ind w:left="116" w:firstLine="0"/>
        <w:rPr>
          <w:spacing w:val="-1"/>
        </w:rPr>
      </w:pPr>
    </w:p>
    <w:p w:rsidR="00C01583" w:rsidRDefault="00C01583" w:rsidP="00C01583">
      <w:pPr>
        <w:pStyle w:val="Textkrper"/>
        <w:spacing w:before="72"/>
        <w:ind w:left="116" w:firstLine="0"/>
      </w:pPr>
      <w:r>
        <w:rPr>
          <w:noProof/>
          <w:lang w:val="de-DE" w:eastAsia="de-DE"/>
        </w:rPr>
        <mc:AlternateContent>
          <mc:Choice Requires="wpg">
            <w:drawing>
              <wp:anchor distT="0" distB="0" distL="114300" distR="114300" simplePos="0" relativeHeight="251659264" behindDoc="1" locked="0" layoutInCell="1" allowOverlap="1" wp14:anchorId="047988E2" wp14:editId="4584F349">
                <wp:simplePos x="0" y="0"/>
                <wp:positionH relativeFrom="page">
                  <wp:posOffset>899160</wp:posOffset>
                </wp:positionH>
                <wp:positionV relativeFrom="paragraph">
                  <wp:posOffset>38735</wp:posOffset>
                </wp:positionV>
                <wp:extent cx="5203190" cy="1270"/>
                <wp:effectExtent l="13335" t="8890" r="12700" b="889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3190" cy="1270"/>
                          <a:chOff x="1416" y="61"/>
                          <a:chExt cx="8194" cy="2"/>
                        </a:xfrm>
                      </wpg:grpSpPr>
                      <wps:wsp>
                        <wps:cNvPr id="8" name="Freeform 7"/>
                        <wps:cNvSpPr>
                          <a:spLocks/>
                        </wps:cNvSpPr>
                        <wps:spPr bwMode="auto">
                          <a:xfrm>
                            <a:off x="1416" y="61"/>
                            <a:ext cx="8194" cy="2"/>
                          </a:xfrm>
                          <a:custGeom>
                            <a:avLst/>
                            <a:gdLst>
                              <a:gd name="T0" fmla="+- 0 1416 1416"/>
                              <a:gd name="T1" fmla="*/ T0 w 8194"/>
                              <a:gd name="T2" fmla="+- 0 9610 1416"/>
                              <a:gd name="T3" fmla="*/ T2 w 8194"/>
                            </a:gdLst>
                            <a:ahLst/>
                            <a:cxnLst>
                              <a:cxn ang="0">
                                <a:pos x="T1" y="0"/>
                              </a:cxn>
                              <a:cxn ang="0">
                                <a:pos x="T3" y="0"/>
                              </a:cxn>
                            </a:cxnLst>
                            <a:rect l="0" t="0" r="r" b="b"/>
                            <a:pathLst>
                              <a:path w="8194">
                                <a:moveTo>
                                  <a:pt x="0" y="0"/>
                                </a:moveTo>
                                <a:lnTo>
                                  <a:pt x="8194" y="0"/>
                                </a:lnTo>
                              </a:path>
                            </a:pathLst>
                          </a:custGeom>
                          <a:noFill/>
                          <a:ln w="88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B5BF86" id="Group 6" o:spid="_x0000_s1026" style="position:absolute;margin-left:70.8pt;margin-top:3.05pt;width:409.7pt;height:.1pt;z-index:-251657216;mso-position-horizontal-relative:page" coordorigin="1416,61" coordsize="81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">
                <v:shape id="Freeform 7" o:spid="_x0000_s1027" style="position:absolute;left:1416;top:61;width:8194;height:2;visibility:visible;mso-wrap-style:square;v-text-anchor:top" coordsize="81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vp7sAA&#10;AADaAAAADwAAAGRycy9kb3ducmV2LnhtbERP3WrCMBS+H/gO4QjelJnaQZ2dUWQw2M1gVh/g2Jy1&#10;xeakJOmPb79cDHb58f3vj7PpxEjOt5YVbNYpCOLK6pZrBdfLx/MrCB+QNXaWScGDPBwPi6c9FtpO&#10;fKaxDLWIIewLVNCE0BdS+qohg35te+LI/VhnMEToaqkdTjHcdDJL01wabDk2NNjTe0PVvRyMgjzb&#10;3rL6Zfd99sngBvdVJhsulVot59MbiEBz+Bf/uT+1grg1Xo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vp7sAAAADaAAAADwAAAAAAAAAAAAAAAACYAgAAZHJzL2Rvd25y&#10;ZXYueG1sUEsFBgAAAAAEAAQA9QAAAIUDAAAAAA==&#10;" path="m,l8194,e" filled="f" strokeweight=".24514mm">
                  <v:path arrowok="t" o:connecttype="custom" o:connectlocs="0,0;8194,0" o:connectangles="0,0"/>
                </v:shape>
                <w10:wrap anchorx="page"/>
              </v:group>
            </w:pict>
          </mc:Fallback>
        </mc:AlternateContent>
      </w:r>
      <w:r>
        <w:rPr>
          <w:spacing w:val="-1"/>
        </w:rPr>
        <w:t>Ne</w:t>
      </w:r>
      <w:r>
        <w:rPr>
          <w:spacing w:val="1"/>
        </w:rPr>
        <w:t>t</w:t>
      </w:r>
      <w:r>
        <w:rPr>
          <w:spacing w:val="-3"/>
        </w:rPr>
        <w:t>z</w:t>
      </w:r>
      <w:r>
        <w:rPr>
          <w:spacing w:val="-1"/>
        </w:rPr>
        <w:t>be</w:t>
      </w:r>
      <w:r>
        <w:rPr>
          <w:spacing w:val="1"/>
        </w:rPr>
        <w:t>t</w:t>
      </w:r>
      <w:r>
        <w:t>r</w:t>
      </w:r>
      <w:r>
        <w:rPr>
          <w:spacing w:val="-1"/>
        </w:rPr>
        <w:t>eibe</w:t>
      </w:r>
      <w:r>
        <w:t>r</w:t>
      </w:r>
    </w:p>
    <w:p w:rsidR="00C01583" w:rsidRDefault="00C01583" w:rsidP="00C01583">
      <w:pPr>
        <w:spacing w:line="200" w:lineRule="exact"/>
        <w:rPr>
          <w:sz w:val="20"/>
          <w:szCs w:val="20"/>
        </w:rPr>
      </w:pPr>
    </w:p>
    <w:p w:rsidR="00C01583" w:rsidRDefault="00C01583" w:rsidP="00C01583">
      <w:pPr>
        <w:spacing w:line="200" w:lineRule="exact"/>
        <w:rPr>
          <w:sz w:val="20"/>
          <w:szCs w:val="20"/>
        </w:rPr>
      </w:pPr>
    </w:p>
    <w:p w:rsidR="00C01583" w:rsidRDefault="00C01583" w:rsidP="00C01583">
      <w:pPr>
        <w:spacing w:line="200" w:lineRule="exact"/>
        <w:rPr>
          <w:sz w:val="20"/>
          <w:szCs w:val="20"/>
        </w:rPr>
      </w:pPr>
    </w:p>
    <w:p w:rsidR="00C01583" w:rsidRDefault="00C01583" w:rsidP="00C01583">
      <w:pPr>
        <w:spacing w:line="200" w:lineRule="exact"/>
        <w:rPr>
          <w:sz w:val="20"/>
          <w:szCs w:val="20"/>
        </w:rPr>
      </w:pPr>
    </w:p>
    <w:p w:rsidR="00C01583" w:rsidRDefault="00C01583" w:rsidP="00C01583">
      <w:pPr>
        <w:spacing w:line="200" w:lineRule="exact"/>
        <w:rPr>
          <w:sz w:val="20"/>
          <w:szCs w:val="20"/>
        </w:rPr>
      </w:pPr>
    </w:p>
    <w:p w:rsidR="00C01583" w:rsidRDefault="00C01583" w:rsidP="00C01583">
      <w:pPr>
        <w:spacing w:before="4" w:line="260" w:lineRule="exact"/>
        <w:rPr>
          <w:sz w:val="26"/>
          <w:szCs w:val="26"/>
        </w:rPr>
      </w:pPr>
    </w:p>
    <w:p w:rsidR="00C01583" w:rsidRDefault="00C01583" w:rsidP="00C01583">
      <w:pPr>
        <w:pStyle w:val="Textkrper"/>
        <w:tabs>
          <w:tab w:val="left" w:pos="4334"/>
          <w:tab w:val="left" w:pos="8248"/>
        </w:tabs>
        <w:ind w:left="116" w:firstLine="0"/>
      </w:pPr>
      <w:r>
        <w:rPr>
          <w:spacing w:val="1"/>
        </w:rPr>
        <w:t>O</w:t>
      </w:r>
      <w:r>
        <w:rPr>
          <w:spacing w:val="-2"/>
        </w:rPr>
        <w:t>r</w:t>
      </w:r>
      <w:r>
        <w:rPr>
          <w:spacing w:val="1"/>
        </w:rPr>
        <w:t>t</w:t>
      </w:r>
      <w:r>
        <w:t>,</w:t>
      </w:r>
      <w:r>
        <w:rPr>
          <w:u w:val="single" w:color="000000"/>
        </w:rPr>
        <w:tab/>
      </w:r>
      <w:r>
        <w:t>,</w:t>
      </w:r>
      <w:r>
        <w:rPr>
          <w:spacing w:val="2"/>
        </w:rPr>
        <w:t xml:space="preserve"> </w:t>
      </w:r>
      <w:r>
        <w:rPr>
          <w:spacing w:val="-1"/>
        </w:rPr>
        <w:t>de</w:t>
      </w:r>
      <w:r>
        <w:t xml:space="preserve">n </w:t>
      </w:r>
      <w:r>
        <w:rPr>
          <w:spacing w:val="-3"/>
        </w:rPr>
        <w:t xml:space="preserve"> </w:t>
      </w:r>
      <w:r>
        <w:rPr>
          <w:u w:val="single" w:color="000000"/>
        </w:rPr>
        <w:t xml:space="preserve"> </w:t>
      </w:r>
      <w:r>
        <w:rPr>
          <w:u w:val="single" w:color="000000"/>
        </w:rPr>
        <w:tab/>
      </w:r>
    </w:p>
    <w:p w:rsidR="00C01583" w:rsidRDefault="00C01583" w:rsidP="00C01583">
      <w:pPr>
        <w:spacing w:before="9" w:line="130" w:lineRule="exact"/>
        <w:rPr>
          <w:sz w:val="13"/>
          <w:szCs w:val="13"/>
        </w:rPr>
      </w:pPr>
    </w:p>
    <w:p w:rsidR="00C01583" w:rsidRDefault="00C01583" w:rsidP="00C01583">
      <w:pPr>
        <w:spacing w:line="200" w:lineRule="exact"/>
        <w:rPr>
          <w:sz w:val="20"/>
          <w:szCs w:val="20"/>
        </w:rPr>
      </w:pPr>
    </w:p>
    <w:p w:rsidR="00C01583" w:rsidRDefault="00C01583" w:rsidP="00C01583">
      <w:pPr>
        <w:pStyle w:val="Textkrper"/>
        <w:spacing w:before="72"/>
        <w:ind w:left="116" w:firstLine="0"/>
        <w:rPr>
          <w:spacing w:val="-1"/>
        </w:rPr>
      </w:pPr>
    </w:p>
    <w:p w:rsidR="00C01583" w:rsidRDefault="00C01583" w:rsidP="00C01583">
      <w:pPr>
        <w:pStyle w:val="Textkrper"/>
        <w:spacing w:before="72"/>
        <w:ind w:left="116" w:firstLine="0"/>
      </w:pPr>
      <w:r>
        <w:rPr>
          <w:noProof/>
          <w:lang w:val="de-DE" w:eastAsia="de-DE"/>
        </w:rPr>
        <mc:AlternateContent>
          <mc:Choice Requires="wpg">
            <w:drawing>
              <wp:anchor distT="0" distB="0" distL="114300" distR="114300" simplePos="0" relativeHeight="251660288" behindDoc="1" locked="0" layoutInCell="1" allowOverlap="1" wp14:anchorId="1875FF4E" wp14:editId="01D00744">
                <wp:simplePos x="0" y="0"/>
                <wp:positionH relativeFrom="page">
                  <wp:posOffset>899160</wp:posOffset>
                </wp:positionH>
                <wp:positionV relativeFrom="paragraph">
                  <wp:posOffset>40005</wp:posOffset>
                </wp:positionV>
                <wp:extent cx="5203190" cy="1270"/>
                <wp:effectExtent l="13335" t="13970" r="12700" b="381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3190" cy="1270"/>
                          <a:chOff x="1416" y="63"/>
                          <a:chExt cx="8194" cy="2"/>
                        </a:xfrm>
                      </wpg:grpSpPr>
                      <wps:wsp>
                        <wps:cNvPr id="9" name="Freeform 5"/>
                        <wps:cNvSpPr>
                          <a:spLocks/>
                        </wps:cNvSpPr>
                        <wps:spPr bwMode="auto">
                          <a:xfrm>
                            <a:off x="1416" y="63"/>
                            <a:ext cx="8194" cy="2"/>
                          </a:xfrm>
                          <a:custGeom>
                            <a:avLst/>
                            <a:gdLst>
                              <a:gd name="T0" fmla="+- 0 1416 1416"/>
                              <a:gd name="T1" fmla="*/ T0 w 8194"/>
                              <a:gd name="T2" fmla="+- 0 9610 1416"/>
                              <a:gd name="T3" fmla="*/ T2 w 8194"/>
                            </a:gdLst>
                            <a:ahLst/>
                            <a:cxnLst>
                              <a:cxn ang="0">
                                <a:pos x="T1" y="0"/>
                              </a:cxn>
                              <a:cxn ang="0">
                                <a:pos x="T3" y="0"/>
                              </a:cxn>
                            </a:cxnLst>
                            <a:rect l="0" t="0" r="r" b="b"/>
                            <a:pathLst>
                              <a:path w="8194">
                                <a:moveTo>
                                  <a:pt x="0" y="0"/>
                                </a:moveTo>
                                <a:lnTo>
                                  <a:pt x="8194" y="0"/>
                                </a:lnTo>
                              </a:path>
                            </a:pathLst>
                          </a:custGeom>
                          <a:noFill/>
                          <a:ln w="88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4D20F0" id="Group 4" o:spid="_x0000_s1026" style="position:absolute;margin-left:70.8pt;margin-top:3.15pt;width:409.7pt;height:.1pt;z-index:-251656192;mso-position-horizontal-relative:page" coordorigin="1416,63" coordsize="81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">
                <v:shape id="Freeform 5" o:spid="_x0000_s1027" style="position:absolute;left:1416;top:63;width:8194;height:2;visibility:visible;mso-wrap-style:square;v-text-anchor:top" coordsize="81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dMdcMA&#10;AADaAAAADwAAAGRycy9kb3ducmV2LnhtbESPwWrDMBBE74X8g9hALyGW40ISu1FCCBR6KTRKPmBr&#10;bW1Ta2UkOXH/vioUehxm5g2zO0y2FzfyoXOsYJXlIIhrZzpuFFwvL8stiBCRDfaOScE3BTjsZw87&#10;rIy785luOjYiQThUqKCNcaikDHVLFkPmBuLkfTpvMSbpG2k83hPc9rLI87W02HFaaHGgU0v1lx6t&#10;gnWx+Siap/L9HBajH/2bXqxYK/U4n47PICJN8T/81341Ckr4vZJu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dMdcMAAADaAAAADwAAAAAAAAAAAAAAAACYAgAAZHJzL2Rv&#10;d25yZXYueG1sUEsFBgAAAAAEAAQA9QAAAIgDAAAAAA==&#10;" path="m,l8194,e" filled="f" strokeweight=".24514mm">
                  <v:path arrowok="t" o:connecttype="custom" o:connectlocs="0,0;8194,0" o:connectangles="0,0"/>
                </v:shape>
                <w10:wrap anchorx="page"/>
              </v:group>
            </w:pict>
          </mc:Fallback>
        </mc:AlternateContent>
      </w:r>
      <w:r>
        <w:rPr>
          <w:spacing w:val="-1"/>
        </w:rPr>
        <w:t>Ne</w:t>
      </w:r>
      <w:r>
        <w:rPr>
          <w:spacing w:val="1"/>
        </w:rPr>
        <w:t>t</w:t>
      </w:r>
      <w:r>
        <w:rPr>
          <w:spacing w:val="-3"/>
        </w:rPr>
        <w:t>z</w:t>
      </w:r>
      <w:r>
        <w:rPr>
          <w:spacing w:val="-1"/>
        </w:rPr>
        <w:t>nu</w:t>
      </w:r>
      <w:r>
        <w:rPr>
          <w:spacing w:val="1"/>
        </w:rPr>
        <w:t>t</w:t>
      </w:r>
      <w:r>
        <w:rPr>
          <w:spacing w:val="-3"/>
        </w:rPr>
        <w:t>z</w:t>
      </w:r>
      <w:r>
        <w:rPr>
          <w:spacing w:val="-1"/>
        </w:rPr>
        <w:t>e</w:t>
      </w:r>
      <w:r>
        <w:t>r</w:t>
      </w:r>
    </w:p>
    <w:p w:rsidR="00C01583" w:rsidRDefault="00C01583" w:rsidP="00C01583">
      <w:pPr>
        <w:spacing w:line="200" w:lineRule="exact"/>
        <w:rPr>
          <w:sz w:val="20"/>
          <w:szCs w:val="20"/>
        </w:rPr>
      </w:pPr>
    </w:p>
    <w:p w:rsidR="006679DA" w:rsidRDefault="006679DA">
      <w:pPr>
        <w:ind w:left="-3" w:right="0"/>
      </w:pPr>
    </w:p>
    <w:p w:rsidR="006679DA" w:rsidRDefault="006679DA">
      <w:pPr>
        <w:ind w:left="-3" w:right="0"/>
      </w:pPr>
    </w:p>
    <w:p w:rsidR="006679DA" w:rsidRDefault="006679DA">
      <w:pPr>
        <w:ind w:left="-3" w:right="0"/>
      </w:pPr>
    </w:p>
    <w:p w:rsidR="006679DA" w:rsidRDefault="006679DA">
      <w:pPr>
        <w:ind w:left="-3" w:right="0"/>
      </w:pPr>
    </w:p>
    <w:p w:rsidR="00EE3EC6" w:rsidRDefault="00A6148F">
      <w:pPr>
        <w:spacing w:after="172" w:line="259" w:lineRule="auto"/>
        <w:ind w:left="0" w:right="0" w:firstLine="0"/>
      </w:pPr>
      <w:r>
        <w:rPr>
          <w:b/>
          <w:sz w:val="28"/>
        </w:rPr>
        <w:t xml:space="preserve">Technischer Anhang: </w:t>
      </w:r>
    </w:p>
    <w:p w:rsidR="00EE3EC6" w:rsidRDefault="00A6148F">
      <w:pPr>
        <w:spacing w:after="251" w:line="239" w:lineRule="auto"/>
        <w:ind w:left="0" w:right="0" w:firstLine="0"/>
      </w:pPr>
      <w:r>
        <w:rPr>
          <w:i/>
        </w:rPr>
        <w:t xml:space="preserve">(Der technische Anhang ist wie der Vertrag selbst als Muster zu verstehen und muss individuell auf die Umstände der jeweiligen Vertragspartner angepasst werden. Sollten bestimmte Einzelheiten bereits im Lieferantenrahmenvertrag geregelt sein (wie z.B. Ansprechpartner), können solche Punkte im technischen Anhang auch vollständig entfallen.) </w:t>
      </w:r>
    </w:p>
    <w:p w:rsidR="00EE3EC6" w:rsidRDefault="00A6148F">
      <w:pPr>
        <w:pStyle w:val="berschrift1"/>
        <w:ind w:left="-5" w:right="6942"/>
      </w:pPr>
      <w:r>
        <w:t xml:space="preserve">1. Ansprechpartner </w:t>
      </w:r>
      <w:r>
        <w:rPr>
          <w:b w:val="0"/>
          <w:sz w:val="16"/>
        </w:rPr>
        <w:t xml:space="preserve">- </w:t>
      </w:r>
      <w:r>
        <w:rPr>
          <w:b w:val="0"/>
        </w:rPr>
        <w:t xml:space="preserve">Technische Fragen </w:t>
      </w:r>
    </w:p>
    <w:p w:rsidR="00EE3EC6" w:rsidRDefault="00A6148F">
      <w:pPr>
        <w:numPr>
          <w:ilvl w:val="0"/>
          <w:numId w:val="1"/>
        </w:numPr>
        <w:spacing w:after="10"/>
        <w:ind w:right="0" w:hanging="98"/>
      </w:pPr>
      <w:r>
        <w:t xml:space="preserve">Vertragliche Fragen </w:t>
      </w:r>
    </w:p>
    <w:p w:rsidR="00EE3EC6" w:rsidRDefault="00A6148F">
      <w:pPr>
        <w:numPr>
          <w:ilvl w:val="0"/>
          <w:numId w:val="1"/>
        </w:numPr>
        <w:spacing w:after="10"/>
        <w:ind w:right="0" w:hanging="98"/>
      </w:pPr>
      <w:r>
        <w:t xml:space="preserve">Briefadresse </w:t>
      </w:r>
    </w:p>
    <w:p w:rsidR="00EE3EC6" w:rsidRDefault="00A6148F">
      <w:pPr>
        <w:numPr>
          <w:ilvl w:val="0"/>
          <w:numId w:val="1"/>
        </w:numPr>
        <w:spacing w:after="10"/>
        <w:ind w:right="0" w:hanging="98"/>
      </w:pPr>
      <w:r>
        <w:t xml:space="preserve">Faxadresse </w:t>
      </w:r>
    </w:p>
    <w:p w:rsidR="00EE3EC6" w:rsidRDefault="00A6148F">
      <w:pPr>
        <w:numPr>
          <w:ilvl w:val="0"/>
          <w:numId w:val="1"/>
        </w:numPr>
        <w:ind w:right="0" w:hanging="98"/>
      </w:pPr>
      <w:r>
        <w:t xml:space="preserve">Email Adresse </w:t>
      </w:r>
    </w:p>
    <w:p w:rsidR="00EE3EC6" w:rsidRDefault="00A6148F">
      <w:pPr>
        <w:spacing w:after="4" w:line="251" w:lineRule="auto"/>
        <w:ind w:left="-5" w:right="0"/>
      </w:pPr>
      <w:r>
        <w:rPr>
          <w:b/>
        </w:rPr>
        <w:t xml:space="preserve">2. Die Vertragsparteien kommunizieren über folgenden Übertragungsweg: </w:t>
      </w:r>
    </w:p>
    <w:p w:rsidR="00EE3EC6" w:rsidRDefault="00A6148F">
      <w:pPr>
        <w:pStyle w:val="berschrift1"/>
        <w:ind w:left="-5"/>
      </w:pPr>
      <w:r>
        <w:t xml:space="preserve">(s. unter anderem Kommunikationsrichtlinie) </w:t>
      </w:r>
    </w:p>
    <w:p w:rsidR="00EE3EC6" w:rsidRDefault="00A6148F">
      <w:pPr>
        <w:numPr>
          <w:ilvl w:val="0"/>
          <w:numId w:val="2"/>
        </w:numPr>
        <w:spacing w:after="10"/>
        <w:ind w:right="0" w:hanging="137"/>
      </w:pPr>
      <w:r>
        <w:t xml:space="preserve">Kommunikationsprotokoll (z.B. SMTP, FTP, http, HTTPS) </w:t>
      </w:r>
    </w:p>
    <w:p w:rsidR="00EE3EC6" w:rsidRDefault="00A6148F">
      <w:pPr>
        <w:numPr>
          <w:ilvl w:val="0"/>
          <w:numId w:val="2"/>
        </w:numPr>
        <w:spacing w:after="10"/>
        <w:ind w:right="0" w:hanging="137"/>
      </w:pPr>
      <w:r>
        <w:t xml:space="preserve">Kommunikationsadresse (z.B. edifact@server.de, ftp.domainname.de) </w:t>
      </w:r>
    </w:p>
    <w:p w:rsidR="00EE3EC6" w:rsidRDefault="00A6148F">
      <w:pPr>
        <w:numPr>
          <w:ilvl w:val="0"/>
          <w:numId w:val="2"/>
        </w:numPr>
        <w:spacing w:after="10"/>
        <w:ind w:right="0" w:hanging="137"/>
      </w:pPr>
      <w:r>
        <w:t xml:space="preserve">Kommunikationsidentifikation (z.B. Username, Signatur, Absenderadresse) </w:t>
      </w:r>
    </w:p>
    <w:p w:rsidR="00EE3EC6" w:rsidRDefault="00A6148F">
      <w:pPr>
        <w:numPr>
          <w:ilvl w:val="0"/>
          <w:numId w:val="2"/>
        </w:numPr>
        <w:spacing w:after="10"/>
        <w:ind w:right="0" w:hanging="137"/>
      </w:pPr>
      <w:r>
        <w:t xml:space="preserve">Maximale Sendungsgröße gemäß Kommunikationsrichtlinie </w:t>
      </w:r>
    </w:p>
    <w:p w:rsidR="00EE3EC6" w:rsidRDefault="00A6148F">
      <w:pPr>
        <w:numPr>
          <w:ilvl w:val="0"/>
          <w:numId w:val="2"/>
        </w:numPr>
        <w:spacing w:after="10"/>
        <w:ind w:right="0" w:hanging="137"/>
      </w:pPr>
      <w:r>
        <w:t xml:space="preserve">Kompressionsart mit Version (G ZIP) </w:t>
      </w:r>
    </w:p>
    <w:p w:rsidR="00EE3EC6" w:rsidRDefault="00A6148F">
      <w:pPr>
        <w:numPr>
          <w:ilvl w:val="0"/>
          <w:numId w:val="2"/>
        </w:numPr>
        <w:ind w:right="0" w:hanging="137"/>
      </w:pPr>
      <w:r>
        <w:t xml:space="preserve">ggf. Multivolume oder Containerarchive </w:t>
      </w:r>
    </w:p>
    <w:p w:rsidR="00EE3EC6" w:rsidRDefault="00A6148F">
      <w:pPr>
        <w:pStyle w:val="berschrift1"/>
        <w:ind w:left="-5"/>
      </w:pPr>
      <w:r>
        <w:t xml:space="preserve">3. Der Übertragungsweg ist wie folgt gesichert (s. VEDIS) </w:t>
      </w:r>
    </w:p>
    <w:p w:rsidR="00EE3EC6" w:rsidRDefault="00A6148F">
      <w:pPr>
        <w:numPr>
          <w:ilvl w:val="0"/>
          <w:numId w:val="3"/>
        </w:numPr>
        <w:spacing w:after="10"/>
        <w:ind w:right="0" w:hanging="98"/>
      </w:pPr>
      <w:r>
        <w:t xml:space="preserve">Verschlüsselungsverfahren (S/MIME, AS2) </w:t>
      </w:r>
    </w:p>
    <w:p w:rsidR="00EE3EC6" w:rsidRDefault="00A6148F">
      <w:pPr>
        <w:numPr>
          <w:ilvl w:val="0"/>
          <w:numId w:val="3"/>
        </w:numPr>
        <w:ind w:right="0" w:hanging="98"/>
      </w:pPr>
      <w:r>
        <w:t xml:space="preserve">Verschlüsselungsparameter </w:t>
      </w:r>
    </w:p>
    <w:p w:rsidR="00EE3EC6" w:rsidRDefault="00A6148F">
      <w:pPr>
        <w:spacing w:after="4" w:line="251" w:lineRule="auto"/>
        <w:ind w:left="-5" w:right="0"/>
      </w:pPr>
      <w:r>
        <w:rPr>
          <w:b/>
        </w:rPr>
        <w:t xml:space="preserve">4. Die Datenübertragung erfolgt im folgenden Format: </w:t>
      </w:r>
    </w:p>
    <w:p w:rsidR="00EE3EC6" w:rsidRDefault="00A6148F">
      <w:pPr>
        <w:numPr>
          <w:ilvl w:val="0"/>
          <w:numId w:val="4"/>
        </w:numPr>
        <w:spacing w:after="0"/>
        <w:ind w:right="0" w:hanging="98"/>
      </w:pPr>
      <w:r>
        <w:t xml:space="preserve">INVOIC in der jeweils von der Bundesnetzagentur vorgegebenen Version, veröffentlicht unter www.edi-energy.de </w:t>
      </w:r>
    </w:p>
    <w:p w:rsidR="00EE3EC6" w:rsidRDefault="00A6148F">
      <w:pPr>
        <w:numPr>
          <w:ilvl w:val="0"/>
          <w:numId w:val="4"/>
        </w:numPr>
        <w:spacing w:after="0"/>
        <w:ind w:right="0" w:hanging="98"/>
      </w:pPr>
      <w:r>
        <w:t xml:space="preserve">REMADV in der jeweils von der Bundesnetzagentur vorgebenen Version veröffentlicht unter www.edi-energy.de </w:t>
      </w:r>
    </w:p>
    <w:p w:rsidR="00EE3EC6" w:rsidRDefault="00A6148F">
      <w:pPr>
        <w:numPr>
          <w:ilvl w:val="0"/>
          <w:numId w:val="4"/>
        </w:numPr>
        <w:spacing w:after="0"/>
        <w:ind w:right="0" w:hanging="98"/>
      </w:pPr>
      <w:r>
        <w:t xml:space="preserve">Dateinamenskonvention (gemäß Kommunikationsrichtlinie der Bundesnetzagentur „Verfahrensbeschreibung zur Abwicklung des Austauschs von EDIFACT Dateien“) </w:t>
      </w:r>
      <w:r>
        <w:rPr>
          <w:sz w:val="16"/>
        </w:rPr>
        <w:t xml:space="preserve">- </w:t>
      </w:r>
      <w:r>
        <w:t xml:space="preserve">Codepflegende Stellen sind: </w:t>
      </w:r>
    </w:p>
    <w:p w:rsidR="00EE3EC6" w:rsidRDefault="00A6148F">
      <w:pPr>
        <w:numPr>
          <w:ilvl w:val="0"/>
          <w:numId w:val="4"/>
        </w:numPr>
        <w:spacing w:after="10"/>
        <w:ind w:right="0" w:hanging="98"/>
      </w:pPr>
      <w:r>
        <w:t xml:space="preserve">UN für EDIFACT-Syntax </w:t>
      </w:r>
    </w:p>
    <w:p w:rsidR="00EE3EC6" w:rsidRDefault="00A6148F">
      <w:pPr>
        <w:numPr>
          <w:ilvl w:val="0"/>
          <w:numId w:val="4"/>
        </w:numPr>
        <w:spacing w:after="10"/>
        <w:ind w:right="0" w:hanging="98"/>
      </w:pPr>
      <w:r>
        <w:t xml:space="preserve">GS1 für ILN-Nummer </w:t>
      </w:r>
    </w:p>
    <w:p w:rsidR="00EE3EC6" w:rsidRDefault="00A6148F">
      <w:pPr>
        <w:numPr>
          <w:ilvl w:val="0"/>
          <w:numId w:val="4"/>
        </w:numPr>
        <w:spacing w:after="10"/>
        <w:ind w:right="0" w:hanging="98"/>
      </w:pPr>
      <w:r>
        <w:t xml:space="preserve">DVGW-Codenummer </w:t>
      </w:r>
    </w:p>
    <w:p w:rsidR="00EE3EC6" w:rsidRDefault="00A6148F">
      <w:pPr>
        <w:numPr>
          <w:ilvl w:val="0"/>
          <w:numId w:val="4"/>
        </w:numPr>
        <w:spacing w:after="10"/>
        <w:ind w:right="0" w:hanging="98"/>
      </w:pPr>
      <w:r>
        <w:t xml:space="preserve">Netzbetreiber für Zählpunkte </w:t>
      </w:r>
    </w:p>
    <w:p w:rsidR="00EE3EC6" w:rsidRDefault="00A6148F">
      <w:pPr>
        <w:numPr>
          <w:ilvl w:val="0"/>
          <w:numId w:val="4"/>
        </w:numPr>
        <w:ind w:right="0" w:hanging="98"/>
      </w:pPr>
      <w:r>
        <w:t xml:space="preserve">BDEW für alle anderen (z.B.: Rechnungstypen, Artikelnummern) </w:t>
      </w:r>
    </w:p>
    <w:p w:rsidR="00EE3EC6" w:rsidRDefault="00A6148F">
      <w:pPr>
        <w:pStyle w:val="berschrift1"/>
        <w:ind w:left="-5"/>
      </w:pPr>
      <w:r>
        <w:t xml:space="preserve">5. Vedis-Empfehlung zur Datensicherheit </w:t>
      </w:r>
    </w:p>
    <w:p w:rsidR="00EE3EC6" w:rsidRDefault="00A6148F">
      <w:pPr>
        <w:ind w:left="-3" w:right="0"/>
      </w:pPr>
      <w:r>
        <w:t>Zur Gewährleistung einer sicheren Kommunikation zwischen den Parteien wird auf die Sicherheitsrahmenbedingungen für den elektronischen Geschäftsverkehr im deutschen Strommarkt (Vedis-Empfehlung</w:t>
      </w:r>
      <w:r>
        <w:rPr>
          <w:vertAlign w:val="superscript"/>
        </w:rPr>
        <w:footnoteReference w:id="2"/>
      </w:r>
      <w:r>
        <w:t>) bei Verwendung von E-Mail als Übertragungsweg und auf die Studie über sichere webbasierte Übertragungswege, Version 2.0, verwiesen.</w:t>
      </w:r>
    </w:p>
    <w:sectPr w:rsidR="00EE3EC6" w:rsidSect="00C01583">
      <w:footerReference w:type="even" r:id="rId9"/>
      <w:footerReference w:type="default" r:id="rId10"/>
      <w:footerReference w:type="first" r:id="rId11"/>
      <w:pgSz w:w="11904" w:h="16840"/>
      <w:pgMar w:top="0" w:right="1412" w:bottom="1140" w:left="1418" w:header="720"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7EC" w:rsidRDefault="008B27EC">
      <w:pPr>
        <w:spacing w:after="0" w:line="240" w:lineRule="auto"/>
      </w:pPr>
      <w:r>
        <w:separator/>
      </w:r>
    </w:p>
  </w:endnote>
  <w:endnote w:type="continuationSeparator" w:id="0">
    <w:p w:rsidR="008B27EC" w:rsidRDefault="008B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EC6" w:rsidRDefault="00A6148F">
    <w:pPr>
      <w:spacing w:after="0" w:line="259" w:lineRule="auto"/>
      <w:ind w:left="0" w:right="2" w:firstLine="0"/>
      <w:jc w:val="right"/>
    </w:pPr>
    <w:r>
      <w:t xml:space="preserve">Seite  </w:t>
    </w:r>
    <w:r>
      <w:fldChar w:fldCharType="begin"/>
    </w:r>
    <w:r>
      <w:instrText xml:space="preserve"> PAGE   \* MERGEFORMAT </w:instrText>
    </w:r>
    <w:r>
      <w:fldChar w:fldCharType="separate"/>
    </w:r>
    <w:r>
      <w:t>1</w:t>
    </w:r>
    <w:r>
      <w:fldChar w:fldCharType="end"/>
    </w:r>
    <w:r>
      <w:t xml:space="preserve"> von </w:t>
    </w:r>
    <w:fldSimple w:instr=" NUMPAGES   \* MERGEFORMAT ">
      <w:r w:rsidR="00977710">
        <w:rPr>
          <w:noProof/>
        </w:rPr>
        <w:t>6</w:t>
      </w:r>
    </w:fldSimple>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EC6" w:rsidRDefault="00A6148F">
    <w:pPr>
      <w:spacing w:after="0" w:line="259" w:lineRule="auto"/>
      <w:ind w:left="0" w:right="2" w:firstLine="0"/>
      <w:jc w:val="right"/>
    </w:pPr>
    <w:r>
      <w:t xml:space="preserve">Seite  </w:t>
    </w:r>
    <w:r>
      <w:fldChar w:fldCharType="begin"/>
    </w:r>
    <w:r>
      <w:instrText xml:space="preserve"> PAGE   \* MERGEFORMAT </w:instrText>
    </w:r>
    <w:r>
      <w:fldChar w:fldCharType="separate"/>
    </w:r>
    <w:r w:rsidR="00C94245">
      <w:rPr>
        <w:noProof/>
      </w:rPr>
      <w:t>1</w:t>
    </w:r>
    <w:r>
      <w:fldChar w:fldCharType="end"/>
    </w:r>
    <w:r>
      <w:t xml:space="preserve"> von </w:t>
    </w:r>
    <w:fldSimple w:instr=" NUMPAGES   \* MERGEFORMAT ">
      <w:r w:rsidR="00C94245">
        <w:rPr>
          <w:noProof/>
        </w:rPr>
        <w:t>6</w:t>
      </w:r>
    </w:fldSimple>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EC6" w:rsidRDefault="00A6148F">
    <w:pPr>
      <w:spacing w:after="0" w:line="259" w:lineRule="auto"/>
      <w:ind w:left="0" w:right="2" w:firstLine="0"/>
      <w:jc w:val="right"/>
    </w:pPr>
    <w:r>
      <w:t xml:space="preserve">Seite  </w:t>
    </w:r>
    <w:r>
      <w:fldChar w:fldCharType="begin"/>
    </w:r>
    <w:r>
      <w:instrText xml:space="preserve"> PAGE   \* MERGEFORMAT </w:instrText>
    </w:r>
    <w:r>
      <w:fldChar w:fldCharType="separate"/>
    </w:r>
    <w:r>
      <w:t>1</w:t>
    </w:r>
    <w:r>
      <w:fldChar w:fldCharType="end"/>
    </w:r>
    <w:r>
      <w:t xml:space="preserve"> von </w:t>
    </w:r>
    <w:fldSimple w:instr=" NUMPAGES   \* MERGEFORMAT ">
      <w:r w:rsidR="00977710">
        <w:rPr>
          <w:noProof/>
        </w:rPr>
        <w:t>6</w:t>
      </w:r>
    </w:fldSimple>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7EC" w:rsidRDefault="008B27EC">
      <w:pPr>
        <w:spacing w:after="0" w:line="336" w:lineRule="auto"/>
        <w:ind w:left="0" w:right="0" w:firstLine="0"/>
      </w:pPr>
      <w:r>
        <w:separator/>
      </w:r>
    </w:p>
  </w:footnote>
  <w:footnote w:type="continuationSeparator" w:id="0">
    <w:p w:rsidR="008B27EC" w:rsidRDefault="008B27EC">
      <w:pPr>
        <w:spacing w:after="0" w:line="336" w:lineRule="auto"/>
        <w:ind w:left="0" w:right="0" w:firstLine="0"/>
      </w:pPr>
      <w:r>
        <w:continuationSeparator/>
      </w:r>
    </w:p>
  </w:footnote>
  <w:footnote w:id="1">
    <w:p w:rsidR="006679DA" w:rsidRDefault="006679DA">
      <w:pPr>
        <w:pStyle w:val="footnotedescription"/>
        <w:ind w:left="0" w:right="0" w:firstLine="0"/>
      </w:pPr>
    </w:p>
    <w:p w:rsidR="006679DA" w:rsidRDefault="006679DA">
      <w:pPr>
        <w:pStyle w:val="footnotedescription"/>
        <w:ind w:left="0" w:right="0" w:firstLine="0"/>
      </w:pPr>
    </w:p>
    <w:p w:rsidR="00EE3EC6" w:rsidRDefault="00EE3EC6">
      <w:pPr>
        <w:pStyle w:val="footnotedescription"/>
        <w:ind w:left="0" w:right="0" w:firstLine="0"/>
      </w:pPr>
      <w:bookmarkStart w:id="0" w:name="_GoBack"/>
      <w:bookmarkEnd w:id="0"/>
    </w:p>
  </w:footnote>
  <w:footnote w:id="2">
    <w:p w:rsidR="00EE3EC6" w:rsidRDefault="00A6148F">
      <w:pPr>
        <w:pStyle w:val="footnotedescription"/>
        <w:spacing w:line="216" w:lineRule="auto"/>
      </w:pPr>
      <w:r>
        <w:rPr>
          <w:rStyle w:val="footnotemark"/>
        </w:rPr>
        <w:footnoteRef/>
      </w:r>
      <w:r>
        <w:t xml:space="preserve"> </w:t>
      </w:r>
      <w:r>
        <w:rPr>
          <w:rFonts w:ascii="Arial" w:eastAsia="Arial" w:hAnsi="Arial" w:cs="Arial"/>
          <w:sz w:val="18"/>
        </w:rPr>
        <w:t>Weitere Informationen zu VEDIS: https://www.bdew.de/service/anwendungshilfen/zehn-schritte-vedis-sicherheit/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4608B"/>
    <w:multiLevelType w:val="hybridMultilevel"/>
    <w:tmpl w:val="FDE87B28"/>
    <w:lvl w:ilvl="0" w:tplc="45042488">
      <w:start w:val="1"/>
      <w:numFmt w:val="bullet"/>
      <w:lvlText w:val="-"/>
      <w:lvlJc w:val="left"/>
      <w:pPr>
        <w:ind w:left="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C362948">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ECADF84">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18C61B6">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248BF38">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008FDFE">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2C484BC">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40858C2">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D462AE4">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5C6547E"/>
    <w:multiLevelType w:val="hybridMultilevel"/>
    <w:tmpl w:val="7E7E487A"/>
    <w:lvl w:ilvl="0" w:tplc="D158DE64">
      <w:start w:val="1"/>
      <w:numFmt w:val="bullet"/>
      <w:lvlText w:val="-"/>
      <w:lvlJc w:val="left"/>
      <w:pPr>
        <w:ind w:left="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0CC3F1A">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FA0189C">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E0AE02A">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7AC3266">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56C778A">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36CC05E">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5E6A8DC">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97A06480">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70F249E7"/>
    <w:multiLevelType w:val="hybridMultilevel"/>
    <w:tmpl w:val="F210039C"/>
    <w:lvl w:ilvl="0" w:tplc="E63C2F92">
      <w:start w:val="1"/>
      <w:numFmt w:val="bullet"/>
      <w:lvlText w:val="-"/>
      <w:lvlJc w:val="left"/>
      <w:pPr>
        <w:ind w:left="1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D76BAAC">
      <w:start w:val="1"/>
      <w:numFmt w:val="bullet"/>
      <w:lvlText w:val="o"/>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2A2EC60">
      <w:start w:val="1"/>
      <w:numFmt w:val="bullet"/>
      <w:lvlText w:val="▪"/>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C98FD48">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E44E98C">
      <w:start w:val="1"/>
      <w:numFmt w:val="bullet"/>
      <w:lvlText w:val="o"/>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2EA83F6">
      <w:start w:val="1"/>
      <w:numFmt w:val="bullet"/>
      <w:lvlText w:val="▪"/>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77A8918">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1EE5504">
      <w:start w:val="1"/>
      <w:numFmt w:val="bullet"/>
      <w:lvlText w:val="o"/>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2A45AEA">
      <w:start w:val="1"/>
      <w:numFmt w:val="bullet"/>
      <w:lvlText w:val="▪"/>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741521D6"/>
    <w:multiLevelType w:val="hybridMultilevel"/>
    <w:tmpl w:val="83ACE7DE"/>
    <w:lvl w:ilvl="0" w:tplc="D6306C32">
      <w:start w:val="1"/>
      <w:numFmt w:val="bullet"/>
      <w:lvlText w:val="-"/>
      <w:lvlJc w:val="left"/>
      <w:pPr>
        <w:ind w:left="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8E968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6C8C0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C6076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64657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9605B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C479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8849B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2CF2C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B9A26A3"/>
    <w:multiLevelType w:val="multilevel"/>
    <w:tmpl w:val="EA0097B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EC6"/>
    <w:rsid w:val="00000A0A"/>
    <w:rsid w:val="005A62B4"/>
    <w:rsid w:val="006679DA"/>
    <w:rsid w:val="006C35E8"/>
    <w:rsid w:val="008B27EC"/>
    <w:rsid w:val="008E01BE"/>
    <w:rsid w:val="00977710"/>
    <w:rsid w:val="00A6148F"/>
    <w:rsid w:val="00C01583"/>
    <w:rsid w:val="00C33548"/>
    <w:rsid w:val="00C94245"/>
    <w:rsid w:val="00E56805"/>
    <w:rsid w:val="00EE3E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C961BC-F264-45C0-A14C-039ED914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40" w:line="249" w:lineRule="auto"/>
      <w:ind w:left="10" w:right="7" w:hanging="10"/>
    </w:pPr>
    <w:rPr>
      <w:rFonts w:ascii="Arial" w:eastAsia="Arial" w:hAnsi="Arial" w:cs="Arial"/>
      <w:color w:val="000000"/>
    </w:rPr>
  </w:style>
  <w:style w:type="paragraph" w:styleId="berschrift1">
    <w:name w:val="heading 1"/>
    <w:next w:val="Standard"/>
    <w:link w:val="berschrift1Zchn"/>
    <w:uiPriority w:val="9"/>
    <w:unhideWhenUsed/>
    <w:qFormat/>
    <w:pPr>
      <w:keepNext/>
      <w:keepLines/>
      <w:spacing w:after="4" w:line="251" w:lineRule="auto"/>
      <w:ind w:left="10" w:hanging="10"/>
      <w:outlineLvl w:val="0"/>
    </w:pPr>
    <w:rPr>
      <w:rFonts w:ascii="Arial" w:eastAsia="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otnotedescription">
    <w:name w:val="footnote description"/>
    <w:next w:val="Standard"/>
    <w:link w:val="footnotedescriptionChar"/>
    <w:hidden/>
    <w:pPr>
      <w:spacing w:after="0" w:line="336" w:lineRule="auto"/>
      <w:ind w:left="105" w:right="35" w:hanging="105"/>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berschrift1Zchn">
    <w:name w:val="Überschrift 1 Zchn"/>
    <w:link w:val="berschrift1"/>
    <w:rPr>
      <w:rFonts w:ascii="Arial" w:eastAsia="Arial" w:hAnsi="Arial" w:cs="Arial"/>
      <w:b/>
      <w:color w:val="000000"/>
      <w:sz w:val="22"/>
    </w:rPr>
  </w:style>
  <w:style w:type="character" w:customStyle="1" w:styleId="footnotemark">
    <w:name w:val="footnote mark"/>
    <w:hidden/>
    <w:rPr>
      <w:rFonts w:ascii="Calibri" w:eastAsia="Calibri" w:hAnsi="Calibri" w:cs="Calibri"/>
      <w:color w:val="000000"/>
      <w:sz w:val="18"/>
      <w:vertAlign w:val="superscript"/>
    </w:rPr>
  </w:style>
  <w:style w:type="paragraph" w:styleId="Listenabsatz">
    <w:name w:val="List Paragraph"/>
    <w:basedOn w:val="Standard"/>
    <w:uiPriority w:val="34"/>
    <w:qFormat/>
    <w:rsid w:val="006679DA"/>
    <w:pPr>
      <w:ind w:left="720"/>
      <w:contextualSpacing/>
    </w:pPr>
  </w:style>
  <w:style w:type="paragraph" w:styleId="Textkrper">
    <w:name w:val="Body Text"/>
    <w:basedOn w:val="Standard"/>
    <w:link w:val="TextkrperZchn"/>
    <w:uiPriority w:val="1"/>
    <w:qFormat/>
    <w:rsid w:val="00C01583"/>
    <w:pPr>
      <w:widowControl w:val="0"/>
      <w:spacing w:after="0" w:line="240" w:lineRule="auto"/>
      <w:ind w:left="836" w:right="0" w:hanging="360"/>
    </w:pPr>
    <w:rPr>
      <w:rFonts w:cstheme="minorBidi"/>
      <w:color w:val="auto"/>
      <w:lang w:val="en-US" w:eastAsia="en-US"/>
    </w:rPr>
  </w:style>
  <w:style w:type="character" w:customStyle="1" w:styleId="TextkrperZchn">
    <w:name w:val="Textkörper Zchn"/>
    <w:basedOn w:val="Absatz-Standardschriftart"/>
    <w:link w:val="Textkrper"/>
    <w:uiPriority w:val="1"/>
    <w:rsid w:val="00C01583"/>
    <w:rPr>
      <w:rFonts w:ascii="Arial" w:eastAsia="Arial" w:hAnsi="Arial"/>
      <w:lang w:val="en-US" w:eastAsia="en-US"/>
    </w:rPr>
  </w:style>
  <w:style w:type="paragraph" w:styleId="Untertitel">
    <w:name w:val="Subtitle"/>
    <w:basedOn w:val="Standard"/>
    <w:next w:val="Standard"/>
    <w:link w:val="UntertitelZchn"/>
    <w:uiPriority w:val="11"/>
    <w:qFormat/>
    <w:rsid w:val="005A62B4"/>
    <w:pPr>
      <w:numPr>
        <w:ilvl w:val="1"/>
      </w:numPr>
      <w:spacing w:after="160"/>
      <w:ind w:left="10" w:hanging="1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5A62B4"/>
    <w:rPr>
      <w:color w:val="5A5A5A" w:themeColor="text1" w:themeTint="A5"/>
      <w:spacing w:val="15"/>
    </w:rPr>
  </w:style>
  <w:style w:type="paragraph" w:styleId="Sprechblasentext">
    <w:name w:val="Balloon Text"/>
    <w:basedOn w:val="Standard"/>
    <w:link w:val="SprechblasentextZchn"/>
    <w:uiPriority w:val="99"/>
    <w:semiHidden/>
    <w:unhideWhenUsed/>
    <w:rsid w:val="0097771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7710"/>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065B7-E277-4788-9AFC-65857F2B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1290</Words>
  <Characters>8129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BK6-17-168 - Anlage 3</vt:lpstr>
    </vt:vector>
  </TitlesOfParts>
  <Company/>
  <LinksUpToDate>false</LinksUpToDate>
  <CharactersWithSpaces>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BK6-17-168 - Anlage 3</dc:title>
  <dc:subject/>
  <dc:creator>Friedel, Gabriele</dc:creator>
  <cp:keywords/>
  <cp:lastModifiedBy>Friedel, Gabriele</cp:lastModifiedBy>
  <cp:revision>2</cp:revision>
  <cp:lastPrinted>2018-04-05T12:00:00Z</cp:lastPrinted>
  <dcterms:created xsi:type="dcterms:W3CDTF">2018-10-09T14:38:00Z</dcterms:created>
  <dcterms:modified xsi:type="dcterms:W3CDTF">2018-10-09T14:38:00Z</dcterms:modified>
</cp:coreProperties>
</file>